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B5424E" w14:textId="77777777" w:rsidR="00EF27D2" w:rsidRPr="00255EF4" w:rsidRDefault="00EF27D2" w:rsidP="00EF27D2">
      <w:pPr>
        <w:spacing w:after="200"/>
        <w:rPr>
          <w:rFonts w:ascii="Palatino" w:hAnsi="Palatino"/>
        </w:rPr>
      </w:pPr>
    </w:p>
    <w:tbl>
      <w:tblPr>
        <w:tblW w:w="9067" w:type="dxa"/>
        <w:tblCellSpacing w:w="11" w:type="dxa"/>
        <w:tblInd w:w="144" w:type="dxa"/>
        <w:tblBorders>
          <w:top w:val="single" w:sz="4" w:space="0" w:color="DEEAF6"/>
          <w:left w:val="single" w:sz="4" w:space="0" w:color="DEEAF6"/>
          <w:bottom w:val="single" w:sz="4" w:space="0" w:color="DEEAF6"/>
          <w:right w:val="single" w:sz="4" w:space="0" w:color="DEEAF6"/>
          <w:insideH w:val="single" w:sz="4" w:space="0" w:color="DEEAF6"/>
          <w:insideV w:val="single" w:sz="4" w:space="0" w:color="DEEAF6"/>
        </w:tblBorders>
        <w:tblCellMar>
          <w:top w:w="57" w:type="dxa"/>
          <w:left w:w="72" w:type="dxa"/>
          <w:bottom w:w="57" w:type="dxa"/>
          <w:right w:w="72" w:type="dxa"/>
        </w:tblCellMar>
        <w:tblLook w:val="04A0" w:firstRow="1" w:lastRow="0" w:firstColumn="1" w:lastColumn="0" w:noHBand="0" w:noVBand="1"/>
      </w:tblPr>
      <w:tblGrid>
        <w:gridCol w:w="1696"/>
        <w:gridCol w:w="1983"/>
        <w:gridCol w:w="2696"/>
        <w:gridCol w:w="2692"/>
      </w:tblGrid>
      <w:tr w:rsidR="00EF27D2" w:rsidRPr="00255EF4" w14:paraId="296D4D24" w14:textId="77777777" w:rsidTr="001A453D">
        <w:trPr>
          <w:tblCellSpacing w:w="11" w:type="dxa"/>
        </w:trPr>
        <w:tc>
          <w:tcPr>
            <w:tcW w:w="1663" w:type="dxa"/>
            <w:shd w:val="clear" w:color="auto" w:fill="auto"/>
            <w:vAlign w:val="center"/>
          </w:tcPr>
          <w:p w14:paraId="60BD98C7" w14:textId="77777777" w:rsidR="00EF27D2" w:rsidRPr="00255EF4" w:rsidRDefault="00EF27D2" w:rsidP="001A453D">
            <w:pPr>
              <w:rPr>
                <w:rFonts w:ascii="Palatino" w:hAnsi="Palatino"/>
                <w:color w:val="0070C0"/>
                <w:szCs w:val="24"/>
              </w:rPr>
            </w:pPr>
            <w:r w:rsidRPr="00255EF4">
              <w:rPr>
                <w:rFonts w:ascii="Palatino" w:hAnsi="Palatino"/>
                <w:color w:val="0070C0"/>
                <w:szCs w:val="24"/>
              </w:rPr>
              <w:t>Policy name</w:t>
            </w:r>
          </w:p>
        </w:tc>
        <w:tc>
          <w:tcPr>
            <w:tcW w:w="7338" w:type="dxa"/>
            <w:gridSpan w:val="3"/>
            <w:shd w:val="clear" w:color="auto" w:fill="auto"/>
            <w:vAlign w:val="center"/>
          </w:tcPr>
          <w:p w14:paraId="649B0074" w14:textId="4E34605D" w:rsidR="00EF27D2" w:rsidRPr="00EF27D2" w:rsidRDefault="00EF27D2" w:rsidP="001A453D">
            <w:pPr>
              <w:rPr>
                <w:rFonts w:ascii="Palatino" w:hAnsi="Palatino"/>
                <w:bCs/>
                <w:sz w:val="28"/>
                <w:szCs w:val="28"/>
              </w:rPr>
            </w:pPr>
            <w:r w:rsidRPr="00EF27D2">
              <w:rPr>
                <w:rFonts w:ascii="Arial" w:hAnsi="Arial" w:cs="Arial"/>
                <w:bCs/>
                <w:sz w:val="24"/>
                <w:szCs w:val="24"/>
              </w:rPr>
              <w:t>Senior Postholder Remuneration Guidance</w:t>
            </w:r>
          </w:p>
        </w:tc>
      </w:tr>
      <w:tr w:rsidR="00EF27D2" w:rsidRPr="00255EF4" w14:paraId="5864EB1D" w14:textId="77777777" w:rsidTr="001A453D">
        <w:trPr>
          <w:tblCellSpacing w:w="11" w:type="dxa"/>
        </w:trPr>
        <w:tc>
          <w:tcPr>
            <w:tcW w:w="3646" w:type="dxa"/>
            <w:gridSpan w:val="2"/>
            <w:shd w:val="clear" w:color="auto" w:fill="auto"/>
            <w:vAlign w:val="center"/>
          </w:tcPr>
          <w:p w14:paraId="4E22ACE9" w14:textId="77777777" w:rsidR="00EF27D2" w:rsidRPr="00255EF4" w:rsidRDefault="00EF27D2" w:rsidP="001A453D">
            <w:pPr>
              <w:rPr>
                <w:rFonts w:ascii="Palatino" w:hAnsi="Palatino"/>
                <w:color w:val="0070C0"/>
                <w:szCs w:val="24"/>
              </w:rPr>
            </w:pPr>
            <w:r w:rsidRPr="00255EF4">
              <w:rPr>
                <w:rFonts w:ascii="Palatino" w:hAnsi="Palatino"/>
                <w:color w:val="0070C0"/>
                <w:szCs w:val="24"/>
              </w:rPr>
              <w:t>Department</w:t>
            </w:r>
          </w:p>
        </w:tc>
        <w:tc>
          <w:tcPr>
            <w:tcW w:w="5355" w:type="dxa"/>
            <w:gridSpan w:val="2"/>
            <w:shd w:val="clear" w:color="auto" w:fill="auto"/>
            <w:vAlign w:val="center"/>
          </w:tcPr>
          <w:p w14:paraId="23503DF0" w14:textId="77777777" w:rsidR="00EF27D2" w:rsidRPr="00255EF4" w:rsidRDefault="00EF27D2" w:rsidP="001A453D">
            <w:pPr>
              <w:rPr>
                <w:rFonts w:ascii="Palatino" w:hAnsi="Palatino"/>
                <w:szCs w:val="24"/>
              </w:rPr>
            </w:pPr>
            <w:r w:rsidRPr="00255EF4">
              <w:rPr>
                <w:rFonts w:ascii="Palatino" w:hAnsi="Palatino"/>
                <w:szCs w:val="24"/>
              </w:rPr>
              <w:t xml:space="preserve">ESCG Board  </w:t>
            </w:r>
          </w:p>
        </w:tc>
      </w:tr>
      <w:tr w:rsidR="00EF27D2" w:rsidRPr="00255EF4" w14:paraId="4AEE3D63" w14:textId="77777777" w:rsidTr="001A453D">
        <w:trPr>
          <w:tblCellSpacing w:w="11" w:type="dxa"/>
        </w:trPr>
        <w:tc>
          <w:tcPr>
            <w:tcW w:w="3646" w:type="dxa"/>
            <w:gridSpan w:val="2"/>
            <w:shd w:val="clear" w:color="auto" w:fill="auto"/>
            <w:vAlign w:val="center"/>
          </w:tcPr>
          <w:p w14:paraId="329CA9F4" w14:textId="77777777" w:rsidR="00EF27D2" w:rsidRPr="00255EF4" w:rsidRDefault="00EF27D2" w:rsidP="001A453D">
            <w:pPr>
              <w:rPr>
                <w:rFonts w:ascii="Palatino" w:hAnsi="Palatino"/>
                <w:color w:val="0070C0"/>
                <w:szCs w:val="24"/>
              </w:rPr>
            </w:pPr>
            <w:r w:rsidRPr="00255EF4">
              <w:rPr>
                <w:rFonts w:ascii="Palatino" w:hAnsi="Palatino"/>
                <w:color w:val="0070C0"/>
                <w:szCs w:val="24"/>
              </w:rPr>
              <w:t>Exec owner</w:t>
            </w:r>
          </w:p>
        </w:tc>
        <w:tc>
          <w:tcPr>
            <w:tcW w:w="5355" w:type="dxa"/>
            <w:gridSpan w:val="2"/>
            <w:shd w:val="clear" w:color="auto" w:fill="auto"/>
            <w:vAlign w:val="center"/>
          </w:tcPr>
          <w:p w14:paraId="3F30B721" w14:textId="77777777" w:rsidR="00EF27D2" w:rsidRPr="00255EF4" w:rsidRDefault="00EF27D2" w:rsidP="001A453D">
            <w:pPr>
              <w:rPr>
                <w:rFonts w:ascii="Palatino" w:hAnsi="Palatino"/>
                <w:szCs w:val="24"/>
              </w:rPr>
            </w:pPr>
            <w:r>
              <w:rPr>
                <w:rFonts w:ascii="Palatino" w:hAnsi="Palatino"/>
                <w:szCs w:val="24"/>
              </w:rPr>
              <w:t>Director for People and Culture</w:t>
            </w:r>
          </w:p>
        </w:tc>
      </w:tr>
      <w:tr w:rsidR="00EF27D2" w:rsidRPr="00255EF4" w14:paraId="2556C432" w14:textId="77777777" w:rsidTr="001A453D">
        <w:trPr>
          <w:tblCellSpacing w:w="11" w:type="dxa"/>
        </w:trPr>
        <w:tc>
          <w:tcPr>
            <w:tcW w:w="3646" w:type="dxa"/>
            <w:gridSpan w:val="2"/>
            <w:shd w:val="clear" w:color="auto" w:fill="auto"/>
            <w:vAlign w:val="center"/>
          </w:tcPr>
          <w:p w14:paraId="30B5D4FC" w14:textId="77777777" w:rsidR="00EF27D2" w:rsidRPr="00255EF4" w:rsidRDefault="00EF27D2" w:rsidP="001A453D">
            <w:pPr>
              <w:rPr>
                <w:rFonts w:ascii="Palatino" w:hAnsi="Palatino"/>
                <w:color w:val="0070C0"/>
                <w:szCs w:val="24"/>
              </w:rPr>
            </w:pPr>
            <w:r w:rsidRPr="00255EF4">
              <w:rPr>
                <w:rFonts w:ascii="Palatino" w:hAnsi="Palatino"/>
                <w:color w:val="0070C0"/>
                <w:szCs w:val="24"/>
              </w:rPr>
              <w:t>Who was consulted in the development of this policy (eg staff forum, other departments)</w:t>
            </w:r>
          </w:p>
        </w:tc>
        <w:tc>
          <w:tcPr>
            <w:tcW w:w="5355" w:type="dxa"/>
            <w:gridSpan w:val="2"/>
            <w:shd w:val="clear" w:color="auto" w:fill="auto"/>
            <w:vAlign w:val="center"/>
          </w:tcPr>
          <w:p w14:paraId="4AB88F1A" w14:textId="77777777" w:rsidR="00EF27D2" w:rsidRPr="00255EF4" w:rsidRDefault="00EF27D2" w:rsidP="001A453D">
            <w:pPr>
              <w:rPr>
                <w:rFonts w:ascii="Palatino" w:hAnsi="Palatino"/>
                <w:szCs w:val="24"/>
              </w:rPr>
            </w:pPr>
            <w:r w:rsidRPr="00255EF4">
              <w:rPr>
                <w:rFonts w:ascii="Palatino" w:hAnsi="Palatino"/>
                <w:szCs w:val="24"/>
              </w:rPr>
              <w:t xml:space="preserve">Performance and Remuneration Committee </w:t>
            </w:r>
          </w:p>
        </w:tc>
      </w:tr>
      <w:tr w:rsidR="00EF27D2" w:rsidRPr="00255EF4" w14:paraId="3E919F7D" w14:textId="77777777" w:rsidTr="001A453D">
        <w:trPr>
          <w:tblCellSpacing w:w="11" w:type="dxa"/>
        </w:trPr>
        <w:tc>
          <w:tcPr>
            <w:tcW w:w="3646" w:type="dxa"/>
            <w:gridSpan w:val="2"/>
            <w:shd w:val="clear" w:color="auto" w:fill="auto"/>
            <w:vAlign w:val="center"/>
          </w:tcPr>
          <w:p w14:paraId="0CB16D49" w14:textId="77777777" w:rsidR="00EF27D2" w:rsidRPr="00255EF4" w:rsidRDefault="00EF27D2" w:rsidP="001A453D">
            <w:pPr>
              <w:rPr>
                <w:rFonts w:ascii="Palatino" w:hAnsi="Palatino"/>
                <w:color w:val="0070C0"/>
                <w:szCs w:val="24"/>
              </w:rPr>
            </w:pPr>
            <w:r w:rsidRPr="00255EF4">
              <w:rPr>
                <w:rFonts w:ascii="Palatino" w:hAnsi="Palatino"/>
                <w:color w:val="0070C0"/>
                <w:szCs w:val="24"/>
              </w:rPr>
              <w:t>Approved by Exec Team (date)</w:t>
            </w:r>
          </w:p>
        </w:tc>
        <w:tc>
          <w:tcPr>
            <w:tcW w:w="5355" w:type="dxa"/>
            <w:gridSpan w:val="2"/>
            <w:shd w:val="clear" w:color="auto" w:fill="auto"/>
            <w:vAlign w:val="center"/>
          </w:tcPr>
          <w:p w14:paraId="0DBA4910" w14:textId="77777777" w:rsidR="00EF27D2" w:rsidRPr="00255EF4" w:rsidRDefault="00EF27D2" w:rsidP="001A453D">
            <w:pPr>
              <w:rPr>
                <w:rFonts w:ascii="Palatino" w:hAnsi="Palatino"/>
                <w:szCs w:val="24"/>
              </w:rPr>
            </w:pPr>
            <w:r w:rsidRPr="00255EF4">
              <w:rPr>
                <w:rFonts w:ascii="Palatino" w:hAnsi="Palatino"/>
                <w:szCs w:val="24"/>
              </w:rPr>
              <w:t xml:space="preserve">n/a </w:t>
            </w:r>
          </w:p>
        </w:tc>
      </w:tr>
      <w:tr w:rsidR="00EF27D2" w:rsidRPr="00255EF4" w14:paraId="7672265D" w14:textId="77777777" w:rsidTr="001A453D">
        <w:trPr>
          <w:tblCellSpacing w:w="11" w:type="dxa"/>
        </w:trPr>
        <w:tc>
          <w:tcPr>
            <w:tcW w:w="3646" w:type="dxa"/>
            <w:gridSpan w:val="2"/>
            <w:shd w:val="clear" w:color="auto" w:fill="auto"/>
            <w:vAlign w:val="center"/>
          </w:tcPr>
          <w:p w14:paraId="73A04C7C" w14:textId="77777777" w:rsidR="00EF27D2" w:rsidRPr="00255EF4" w:rsidRDefault="00EF27D2" w:rsidP="001A453D">
            <w:pPr>
              <w:rPr>
                <w:rFonts w:ascii="Palatino" w:hAnsi="Palatino"/>
                <w:color w:val="0070C0"/>
                <w:szCs w:val="24"/>
              </w:rPr>
            </w:pPr>
            <w:r w:rsidRPr="00255EF4">
              <w:rPr>
                <w:rFonts w:ascii="Palatino" w:hAnsi="Palatino"/>
                <w:color w:val="0070C0"/>
                <w:szCs w:val="24"/>
              </w:rPr>
              <w:t>Approved by Committee (date)</w:t>
            </w:r>
          </w:p>
        </w:tc>
        <w:tc>
          <w:tcPr>
            <w:tcW w:w="5355" w:type="dxa"/>
            <w:gridSpan w:val="2"/>
            <w:shd w:val="clear" w:color="auto" w:fill="auto"/>
            <w:vAlign w:val="center"/>
          </w:tcPr>
          <w:p w14:paraId="67A31539" w14:textId="64FB2AAE" w:rsidR="00EF27D2" w:rsidRPr="00255EF4" w:rsidRDefault="00EF27D2" w:rsidP="001A453D">
            <w:pPr>
              <w:rPr>
                <w:rFonts w:ascii="Palatino" w:hAnsi="Palatino"/>
                <w:szCs w:val="24"/>
              </w:rPr>
            </w:pPr>
            <w:r w:rsidRPr="00255EF4">
              <w:rPr>
                <w:rFonts w:ascii="Palatino" w:hAnsi="Palatino"/>
                <w:szCs w:val="24"/>
              </w:rPr>
              <w:t xml:space="preserve">P&amp;R Committee </w:t>
            </w:r>
            <w:r>
              <w:rPr>
                <w:rFonts w:ascii="Palatino" w:hAnsi="Palatino"/>
                <w:szCs w:val="24"/>
              </w:rPr>
              <w:t>– May 2021</w:t>
            </w:r>
          </w:p>
        </w:tc>
      </w:tr>
      <w:tr w:rsidR="00EF27D2" w:rsidRPr="00255EF4" w14:paraId="01B1F026" w14:textId="77777777" w:rsidTr="001A453D">
        <w:trPr>
          <w:tblCellSpacing w:w="11" w:type="dxa"/>
        </w:trPr>
        <w:tc>
          <w:tcPr>
            <w:tcW w:w="3646" w:type="dxa"/>
            <w:gridSpan w:val="2"/>
            <w:shd w:val="clear" w:color="auto" w:fill="auto"/>
            <w:vAlign w:val="center"/>
          </w:tcPr>
          <w:p w14:paraId="1436A4E4" w14:textId="77777777" w:rsidR="00EF27D2" w:rsidRPr="00255EF4" w:rsidRDefault="00EF27D2" w:rsidP="001A453D">
            <w:pPr>
              <w:rPr>
                <w:rFonts w:ascii="Palatino" w:hAnsi="Palatino"/>
                <w:color w:val="0070C0"/>
                <w:szCs w:val="24"/>
              </w:rPr>
            </w:pPr>
            <w:r w:rsidRPr="00255EF4">
              <w:rPr>
                <w:rFonts w:ascii="Palatino" w:hAnsi="Palatino"/>
                <w:color w:val="0070C0"/>
                <w:szCs w:val="24"/>
              </w:rPr>
              <w:t>Approved by Board (date)</w:t>
            </w:r>
          </w:p>
        </w:tc>
        <w:tc>
          <w:tcPr>
            <w:tcW w:w="5355" w:type="dxa"/>
            <w:gridSpan w:val="2"/>
            <w:shd w:val="clear" w:color="auto" w:fill="auto"/>
            <w:vAlign w:val="center"/>
          </w:tcPr>
          <w:p w14:paraId="0F606FE9" w14:textId="41CC9139" w:rsidR="00EF27D2" w:rsidRPr="00255EF4" w:rsidRDefault="00EF27D2" w:rsidP="001A453D">
            <w:pPr>
              <w:rPr>
                <w:rFonts w:ascii="Palatino" w:hAnsi="Palatino"/>
                <w:szCs w:val="24"/>
              </w:rPr>
            </w:pPr>
            <w:r>
              <w:rPr>
                <w:rFonts w:ascii="Palatino" w:hAnsi="Palatino"/>
                <w:szCs w:val="24"/>
              </w:rPr>
              <w:t>14 July 2021</w:t>
            </w:r>
            <w:bookmarkStart w:id="0" w:name="_GoBack"/>
            <w:bookmarkEnd w:id="0"/>
          </w:p>
        </w:tc>
      </w:tr>
      <w:tr w:rsidR="00EF27D2" w:rsidRPr="00255EF4" w14:paraId="63452AA8" w14:textId="77777777" w:rsidTr="001A453D">
        <w:trPr>
          <w:tblCellSpacing w:w="11" w:type="dxa"/>
        </w:trPr>
        <w:tc>
          <w:tcPr>
            <w:tcW w:w="3646" w:type="dxa"/>
            <w:gridSpan w:val="2"/>
            <w:vMerge w:val="restart"/>
            <w:shd w:val="clear" w:color="auto" w:fill="auto"/>
            <w:vAlign w:val="center"/>
          </w:tcPr>
          <w:p w14:paraId="2256A59E" w14:textId="77777777" w:rsidR="00EF27D2" w:rsidRPr="00255EF4" w:rsidRDefault="00EF27D2" w:rsidP="001A453D">
            <w:pPr>
              <w:rPr>
                <w:rFonts w:ascii="Palatino" w:hAnsi="Palatino"/>
                <w:color w:val="0070C0"/>
                <w:szCs w:val="24"/>
              </w:rPr>
            </w:pPr>
            <w:r w:rsidRPr="00255EF4">
              <w:rPr>
                <w:rFonts w:ascii="Palatino" w:hAnsi="Palatino"/>
                <w:color w:val="0070C0"/>
                <w:szCs w:val="24"/>
              </w:rPr>
              <w:t>Available on intranet/website</w:t>
            </w:r>
          </w:p>
        </w:tc>
        <w:tc>
          <w:tcPr>
            <w:tcW w:w="2674" w:type="dxa"/>
            <w:shd w:val="clear" w:color="auto" w:fill="auto"/>
            <w:vAlign w:val="center"/>
          </w:tcPr>
          <w:p w14:paraId="711C60A2" w14:textId="77777777" w:rsidR="00EF27D2" w:rsidRPr="00255EF4" w:rsidRDefault="00EF27D2" w:rsidP="001A453D">
            <w:pPr>
              <w:jc w:val="center"/>
              <w:rPr>
                <w:rFonts w:ascii="Palatino" w:hAnsi="Palatino"/>
                <w:color w:val="0070C0"/>
                <w:szCs w:val="24"/>
              </w:rPr>
            </w:pPr>
            <w:r w:rsidRPr="00255EF4">
              <w:rPr>
                <w:rFonts w:ascii="Palatino" w:hAnsi="Palatino"/>
                <w:color w:val="0070C0"/>
                <w:szCs w:val="24"/>
              </w:rPr>
              <w:t>Intranet</w:t>
            </w:r>
          </w:p>
        </w:tc>
        <w:tc>
          <w:tcPr>
            <w:tcW w:w="2659" w:type="dxa"/>
            <w:shd w:val="clear" w:color="auto" w:fill="auto"/>
            <w:vAlign w:val="center"/>
          </w:tcPr>
          <w:p w14:paraId="68B42D92" w14:textId="77777777" w:rsidR="00EF27D2" w:rsidRPr="00255EF4" w:rsidRDefault="00EF27D2" w:rsidP="001A453D">
            <w:pPr>
              <w:jc w:val="center"/>
              <w:rPr>
                <w:rFonts w:ascii="Palatino" w:hAnsi="Palatino"/>
                <w:color w:val="0070C0"/>
                <w:szCs w:val="24"/>
              </w:rPr>
            </w:pPr>
            <w:r w:rsidRPr="00255EF4">
              <w:rPr>
                <w:rFonts w:ascii="Palatino" w:hAnsi="Palatino"/>
                <w:color w:val="0070C0"/>
                <w:szCs w:val="24"/>
              </w:rPr>
              <w:t>Website</w:t>
            </w:r>
          </w:p>
        </w:tc>
      </w:tr>
      <w:tr w:rsidR="00EF27D2" w:rsidRPr="00255EF4" w14:paraId="5A5BB082" w14:textId="77777777" w:rsidTr="001A453D">
        <w:trPr>
          <w:tblCellSpacing w:w="11" w:type="dxa"/>
        </w:trPr>
        <w:tc>
          <w:tcPr>
            <w:tcW w:w="3646" w:type="dxa"/>
            <w:gridSpan w:val="2"/>
            <w:vMerge/>
            <w:shd w:val="clear" w:color="auto" w:fill="auto"/>
            <w:vAlign w:val="center"/>
          </w:tcPr>
          <w:p w14:paraId="6F824918" w14:textId="77777777" w:rsidR="00EF27D2" w:rsidRPr="00255EF4" w:rsidRDefault="00EF27D2" w:rsidP="001A453D">
            <w:pPr>
              <w:rPr>
                <w:rFonts w:ascii="Palatino" w:hAnsi="Palatino"/>
                <w:color w:val="0070C0"/>
                <w:szCs w:val="24"/>
              </w:rPr>
            </w:pPr>
          </w:p>
        </w:tc>
        <w:tc>
          <w:tcPr>
            <w:tcW w:w="2674" w:type="dxa"/>
            <w:shd w:val="clear" w:color="auto" w:fill="auto"/>
            <w:vAlign w:val="center"/>
          </w:tcPr>
          <w:p w14:paraId="743B044B" w14:textId="77777777" w:rsidR="00EF27D2" w:rsidRPr="00255EF4" w:rsidRDefault="00EF27D2" w:rsidP="001A453D">
            <w:pPr>
              <w:jc w:val="center"/>
              <w:rPr>
                <w:rFonts w:ascii="Palatino" w:hAnsi="Palatino"/>
                <w:szCs w:val="24"/>
              </w:rPr>
            </w:pPr>
            <w:r w:rsidRPr="00255EF4">
              <w:rPr>
                <w:rFonts w:ascii="Palatino" w:hAnsi="Palatino"/>
                <w:szCs w:val="24"/>
              </w:rPr>
              <w:t>N</w:t>
            </w:r>
          </w:p>
        </w:tc>
        <w:tc>
          <w:tcPr>
            <w:tcW w:w="2659" w:type="dxa"/>
            <w:shd w:val="clear" w:color="auto" w:fill="auto"/>
            <w:vAlign w:val="center"/>
          </w:tcPr>
          <w:p w14:paraId="1720A4B7" w14:textId="77777777" w:rsidR="00EF27D2" w:rsidRPr="00255EF4" w:rsidRDefault="00EF27D2" w:rsidP="001A453D">
            <w:pPr>
              <w:jc w:val="center"/>
              <w:rPr>
                <w:rFonts w:ascii="Palatino" w:hAnsi="Palatino"/>
                <w:szCs w:val="24"/>
              </w:rPr>
            </w:pPr>
            <w:r w:rsidRPr="00255EF4">
              <w:rPr>
                <w:rFonts w:ascii="Palatino" w:hAnsi="Palatino" w:hint="eastAsia"/>
                <w:szCs w:val="24"/>
              </w:rPr>
              <w:t>Y</w:t>
            </w:r>
            <w:r w:rsidRPr="00255EF4">
              <w:rPr>
                <w:rFonts w:ascii="Palatino" w:hAnsi="Palatino"/>
                <w:szCs w:val="24"/>
              </w:rPr>
              <w:t xml:space="preserve"> (Governance)</w:t>
            </w:r>
          </w:p>
        </w:tc>
      </w:tr>
      <w:tr w:rsidR="00EF27D2" w:rsidRPr="00255EF4" w14:paraId="75C7BE0E" w14:textId="77777777" w:rsidTr="001A453D">
        <w:trPr>
          <w:tblCellSpacing w:w="11" w:type="dxa"/>
        </w:trPr>
        <w:tc>
          <w:tcPr>
            <w:tcW w:w="3646" w:type="dxa"/>
            <w:gridSpan w:val="2"/>
            <w:shd w:val="clear" w:color="auto" w:fill="auto"/>
            <w:vAlign w:val="center"/>
          </w:tcPr>
          <w:p w14:paraId="0A8F55A1" w14:textId="77777777" w:rsidR="00EF27D2" w:rsidRPr="00255EF4" w:rsidRDefault="00EF27D2" w:rsidP="001A453D">
            <w:pPr>
              <w:rPr>
                <w:rFonts w:ascii="Palatino" w:hAnsi="Palatino"/>
                <w:color w:val="0070C0"/>
                <w:szCs w:val="24"/>
              </w:rPr>
            </w:pPr>
            <w:r w:rsidRPr="00255EF4">
              <w:rPr>
                <w:rFonts w:ascii="Palatino" w:hAnsi="Palatino"/>
                <w:color w:val="0070C0"/>
                <w:szCs w:val="24"/>
              </w:rPr>
              <w:t>Review cycle annual/every 3 years</w:t>
            </w:r>
          </w:p>
        </w:tc>
        <w:tc>
          <w:tcPr>
            <w:tcW w:w="5355" w:type="dxa"/>
            <w:gridSpan w:val="2"/>
            <w:shd w:val="clear" w:color="auto" w:fill="auto"/>
            <w:vAlign w:val="center"/>
          </w:tcPr>
          <w:p w14:paraId="37D4B244" w14:textId="77777777" w:rsidR="00EF27D2" w:rsidRPr="00255EF4" w:rsidRDefault="00EF27D2" w:rsidP="001A453D">
            <w:pPr>
              <w:rPr>
                <w:rFonts w:ascii="Palatino" w:hAnsi="Palatino"/>
                <w:szCs w:val="24"/>
              </w:rPr>
            </w:pPr>
            <w:r w:rsidRPr="00255EF4">
              <w:rPr>
                <w:rFonts w:ascii="Palatino" w:hAnsi="Palatino"/>
                <w:szCs w:val="24"/>
              </w:rPr>
              <w:t xml:space="preserve">Every 3 years  </w:t>
            </w:r>
          </w:p>
        </w:tc>
      </w:tr>
      <w:tr w:rsidR="00EF27D2" w:rsidRPr="00255EF4" w14:paraId="1D9003F0" w14:textId="77777777" w:rsidTr="001A453D">
        <w:trPr>
          <w:tblCellSpacing w:w="11" w:type="dxa"/>
        </w:trPr>
        <w:tc>
          <w:tcPr>
            <w:tcW w:w="3646" w:type="dxa"/>
            <w:gridSpan w:val="2"/>
            <w:shd w:val="clear" w:color="auto" w:fill="auto"/>
            <w:vAlign w:val="center"/>
          </w:tcPr>
          <w:p w14:paraId="0AD319BF" w14:textId="77777777" w:rsidR="00EF27D2" w:rsidRPr="00255EF4" w:rsidRDefault="00EF27D2" w:rsidP="001A453D">
            <w:pPr>
              <w:rPr>
                <w:rFonts w:ascii="Palatino" w:hAnsi="Palatino"/>
                <w:color w:val="0070C0"/>
                <w:szCs w:val="24"/>
              </w:rPr>
            </w:pPr>
            <w:r w:rsidRPr="00255EF4">
              <w:rPr>
                <w:rFonts w:ascii="Palatino" w:hAnsi="Palatino"/>
                <w:color w:val="0070C0"/>
                <w:szCs w:val="24"/>
              </w:rPr>
              <w:t>Date of next review</w:t>
            </w:r>
          </w:p>
        </w:tc>
        <w:tc>
          <w:tcPr>
            <w:tcW w:w="5355" w:type="dxa"/>
            <w:gridSpan w:val="2"/>
            <w:shd w:val="clear" w:color="auto" w:fill="auto"/>
            <w:vAlign w:val="center"/>
          </w:tcPr>
          <w:p w14:paraId="5F8F7533" w14:textId="77777777" w:rsidR="00EF27D2" w:rsidRPr="00255EF4" w:rsidRDefault="00EF27D2" w:rsidP="001A453D">
            <w:pPr>
              <w:rPr>
                <w:rFonts w:ascii="Palatino" w:hAnsi="Palatino"/>
                <w:szCs w:val="24"/>
              </w:rPr>
            </w:pPr>
            <w:r w:rsidRPr="00255EF4">
              <w:rPr>
                <w:rFonts w:ascii="Palatino" w:hAnsi="Palatino"/>
                <w:szCs w:val="24"/>
              </w:rPr>
              <w:t>Ma</w:t>
            </w:r>
            <w:r>
              <w:rPr>
                <w:rFonts w:ascii="Palatino" w:hAnsi="Palatino"/>
                <w:szCs w:val="24"/>
              </w:rPr>
              <w:t>y</w:t>
            </w:r>
            <w:r w:rsidRPr="00255EF4">
              <w:rPr>
                <w:rFonts w:ascii="Palatino" w:hAnsi="Palatino"/>
                <w:szCs w:val="24"/>
              </w:rPr>
              <w:t xml:space="preserve"> 202</w:t>
            </w:r>
            <w:r>
              <w:rPr>
                <w:rFonts w:ascii="Palatino" w:hAnsi="Palatino"/>
                <w:szCs w:val="24"/>
              </w:rPr>
              <w:t>4</w:t>
            </w:r>
          </w:p>
        </w:tc>
      </w:tr>
    </w:tbl>
    <w:p w14:paraId="38F3E2EF" w14:textId="77777777" w:rsidR="00EF27D2" w:rsidRPr="00255EF4" w:rsidRDefault="00EF27D2" w:rsidP="00EF27D2">
      <w:pPr>
        <w:rPr>
          <w:rFonts w:ascii="Palatino" w:hAnsi="Palatino"/>
        </w:rPr>
      </w:pPr>
    </w:p>
    <w:p w14:paraId="7F55AF01" w14:textId="77777777" w:rsidR="00EF27D2" w:rsidRPr="00255EF4" w:rsidRDefault="00EF27D2" w:rsidP="00EF27D2">
      <w:pPr>
        <w:keepNext/>
        <w:spacing w:before="120" w:after="120"/>
        <w:outlineLvl w:val="0"/>
        <w:rPr>
          <w:b/>
          <w:color w:val="0070C0"/>
          <w:szCs w:val="24"/>
        </w:rPr>
      </w:pPr>
      <w:r w:rsidRPr="00255EF4">
        <w:rPr>
          <w:b/>
          <w:color w:val="0070C0"/>
          <w:szCs w:val="24"/>
        </w:rPr>
        <w:br w:type="page"/>
      </w:r>
    </w:p>
    <w:p w14:paraId="560D45B5" w14:textId="51EB9500" w:rsidR="005173CA" w:rsidRPr="00B876F7" w:rsidRDefault="005173CA" w:rsidP="4211E60A">
      <w:pPr>
        <w:spacing w:after="0"/>
        <w:rPr>
          <w:rFonts w:ascii="Arial" w:hAnsi="Arial" w:cs="Arial"/>
          <w:b/>
          <w:bCs/>
          <w:sz w:val="24"/>
          <w:szCs w:val="24"/>
          <w:u w:val="single"/>
        </w:rPr>
      </w:pPr>
      <w:r w:rsidRPr="00B876F7">
        <w:rPr>
          <w:rFonts w:ascii="Arial" w:hAnsi="Arial" w:cs="Arial"/>
          <w:b/>
          <w:bCs/>
          <w:sz w:val="24"/>
          <w:szCs w:val="24"/>
          <w:u w:val="single"/>
        </w:rPr>
        <w:lastRenderedPageBreak/>
        <w:t xml:space="preserve">Senior Postholder Remuneration </w:t>
      </w:r>
      <w:r w:rsidR="00BE7E87">
        <w:rPr>
          <w:rFonts w:ascii="Arial" w:hAnsi="Arial" w:cs="Arial"/>
          <w:b/>
          <w:bCs/>
          <w:sz w:val="24"/>
          <w:szCs w:val="24"/>
          <w:u w:val="single"/>
        </w:rPr>
        <w:t>Guidance</w:t>
      </w:r>
    </w:p>
    <w:p w14:paraId="3FD890EF" w14:textId="5A17ED19" w:rsidR="00576017" w:rsidRPr="00B876F7" w:rsidRDefault="00576017" w:rsidP="4211E60A">
      <w:pPr>
        <w:spacing w:after="0"/>
        <w:rPr>
          <w:rStyle w:val="FootnoteReference"/>
          <w:rFonts w:ascii="Arial" w:hAnsi="Arial" w:cs="Arial"/>
          <w:b/>
          <w:bCs/>
          <w:sz w:val="24"/>
          <w:szCs w:val="24"/>
        </w:rPr>
      </w:pPr>
    </w:p>
    <w:p w14:paraId="723CEFCC" w14:textId="77777777" w:rsidR="00F95507" w:rsidRPr="00B876F7" w:rsidRDefault="00F95507" w:rsidP="00F95507">
      <w:pPr>
        <w:spacing w:after="0"/>
        <w:rPr>
          <w:rFonts w:ascii="Arial" w:hAnsi="Arial" w:cs="Arial"/>
          <w:b/>
          <w:sz w:val="24"/>
          <w:szCs w:val="24"/>
        </w:rPr>
      </w:pPr>
      <w:r w:rsidRPr="00B876F7">
        <w:rPr>
          <w:rFonts w:ascii="Arial" w:hAnsi="Arial" w:cs="Arial"/>
          <w:b/>
          <w:sz w:val="24"/>
          <w:szCs w:val="24"/>
        </w:rPr>
        <w:t>Introduction</w:t>
      </w:r>
    </w:p>
    <w:p w14:paraId="26C8502F" w14:textId="1386B082" w:rsidR="00BF534C" w:rsidRPr="00B876F7" w:rsidRDefault="003B5E50" w:rsidP="4211E60A">
      <w:pPr>
        <w:pStyle w:val="ListParagraph"/>
        <w:numPr>
          <w:ilvl w:val="1"/>
          <w:numId w:val="1"/>
        </w:numPr>
        <w:spacing w:after="160"/>
        <w:ind w:left="350" w:hanging="357"/>
        <w:contextualSpacing w:val="0"/>
        <w:rPr>
          <w:sz w:val="24"/>
          <w:szCs w:val="24"/>
        </w:rPr>
      </w:pPr>
      <w:r w:rsidRPr="00B876F7">
        <w:rPr>
          <w:sz w:val="24"/>
          <w:szCs w:val="24"/>
        </w:rPr>
        <w:t>This guidance</w:t>
      </w:r>
      <w:r w:rsidR="00576017" w:rsidRPr="00B876F7">
        <w:rPr>
          <w:sz w:val="24"/>
          <w:szCs w:val="24"/>
        </w:rPr>
        <w:t xml:space="preserve"> is</w:t>
      </w:r>
      <w:r w:rsidRPr="00B876F7">
        <w:rPr>
          <w:sz w:val="24"/>
          <w:szCs w:val="24"/>
        </w:rPr>
        <w:t xml:space="preserve"> to ensure </w:t>
      </w:r>
      <w:r w:rsidR="009C6D76" w:rsidRPr="00B876F7">
        <w:rPr>
          <w:sz w:val="24"/>
          <w:szCs w:val="24"/>
        </w:rPr>
        <w:t xml:space="preserve">the </w:t>
      </w:r>
      <w:r w:rsidR="00052E59">
        <w:rPr>
          <w:sz w:val="24"/>
          <w:szCs w:val="24"/>
        </w:rPr>
        <w:t>ESCB Board</w:t>
      </w:r>
      <w:r w:rsidRPr="00B876F7">
        <w:rPr>
          <w:sz w:val="24"/>
          <w:szCs w:val="24"/>
        </w:rPr>
        <w:t xml:space="preserve"> operates in a transparent and accountable framework when dealing with the pay </w:t>
      </w:r>
      <w:r w:rsidR="004E2B42" w:rsidRPr="00B876F7">
        <w:rPr>
          <w:sz w:val="24"/>
          <w:szCs w:val="24"/>
        </w:rPr>
        <w:t xml:space="preserve">for Senior Postholders and in line with </w:t>
      </w:r>
      <w:r w:rsidRPr="00B876F7">
        <w:rPr>
          <w:sz w:val="24"/>
          <w:szCs w:val="24"/>
        </w:rPr>
        <w:t xml:space="preserve">guidance </w:t>
      </w:r>
      <w:r w:rsidR="004E2B42" w:rsidRPr="00B876F7">
        <w:rPr>
          <w:sz w:val="24"/>
          <w:szCs w:val="24"/>
        </w:rPr>
        <w:t xml:space="preserve">in the Association of </w:t>
      </w:r>
      <w:r w:rsidR="3958FFE3" w:rsidRPr="00B876F7">
        <w:rPr>
          <w:sz w:val="24"/>
          <w:szCs w:val="24"/>
        </w:rPr>
        <w:t>Colleges,</w:t>
      </w:r>
      <w:r w:rsidR="004E2B42" w:rsidRPr="00B876F7">
        <w:rPr>
          <w:sz w:val="24"/>
          <w:szCs w:val="24"/>
        </w:rPr>
        <w:t xml:space="preserve"> </w:t>
      </w:r>
      <w:r w:rsidRPr="00B876F7">
        <w:rPr>
          <w:sz w:val="24"/>
          <w:szCs w:val="24"/>
        </w:rPr>
        <w:t>Remuneration Code for Senior Staff</w:t>
      </w:r>
      <w:r w:rsidR="00200ED1" w:rsidRPr="00B876F7">
        <w:rPr>
          <w:sz w:val="24"/>
          <w:szCs w:val="24"/>
        </w:rPr>
        <w:t xml:space="preserve"> December 2018</w:t>
      </w:r>
      <w:r w:rsidR="00052E59">
        <w:rPr>
          <w:sz w:val="24"/>
          <w:szCs w:val="24"/>
        </w:rPr>
        <w:t>.</w:t>
      </w:r>
    </w:p>
    <w:p w14:paraId="762BD9B4" w14:textId="30CE773F" w:rsidR="00200ED1" w:rsidRPr="00B876F7" w:rsidRDefault="00200ED1" w:rsidP="4211E60A">
      <w:pPr>
        <w:pStyle w:val="ListParagraph"/>
        <w:numPr>
          <w:ilvl w:val="1"/>
          <w:numId w:val="1"/>
        </w:numPr>
        <w:spacing w:after="160"/>
        <w:ind w:left="350" w:hanging="357"/>
        <w:contextualSpacing w:val="0"/>
        <w:rPr>
          <w:sz w:val="24"/>
          <w:szCs w:val="24"/>
        </w:rPr>
      </w:pPr>
      <w:r w:rsidRPr="00B876F7">
        <w:rPr>
          <w:sz w:val="24"/>
          <w:szCs w:val="24"/>
        </w:rPr>
        <w:t xml:space="preserve">Fair and appropriate remuneration is key to the success and development of the college sector. </w:t>
      </w:r>
      <w:r w:rsidR="009C6D76" w:rsidRPr="00B876F7">
        <w:rPr>
          <w:sz w:val="24"/>
          <w:szCs w:val="24"/>
        </w:rPr>
        <w:t xml:space="preserve">The </w:t>
      </w:r>
      <w:r w:rsidR="00052E59">
        <w:rPr>
          <w:sz w:val="24"/>
          <w:szCs w:val="24"/>
        </w:rPr>
        <w:t>Board</w:t>
      </w:r>
      <w:r w:rsidR="009C6D76" w:rsidRPr="00B876F7">
        <w:rPr>
          <w:sz w:val="24"/>
          <w:szCs w:val="24"/>
        </w:rPr>
        <w:t xml:space="preserve"> </w:t>
      </w:r>
      <w:r w:rsidRPr="00B876F7">
        <w:rPr>
          <w:sz w:val="24"/>
          <w:szCs w:val="24"/>
        </w:rPr>
        <w:t xml:space="preserve">has adopted the Remuneration code to ensure we demonstrate leadership and stewardship in relation to remuneration, and in doing so help us protect sector reputation and provide greater assurances to key stakeholders and partners, including our student and wider community. </w:t>
      </w:r>
    </w:p>
    <w:p w14:paraId="6DB8E447" w14:textId="77777777" w:rsidR="00F95507" w:rsidRPr="00B876F7" w:rsidRDefault="003B5E50" w:rsidP="00F95507">
      <w:pPr>
        <w:spacing w:after="0"/>
        <w:rPr>
          <w:rFonts w:ascii="Arial" w:hAnsi="Arial" w:cs="Arial"/>
          <w:b/>
          <w:sz w:val="24"/>
          <w:szCs w:val="24"/>
        </w:rPr>
      </w:pPr>
      <w:r w:rsidRPr="00B876F7">
        <w:rPr>
          <w:rFonts w:ascii="Arial" w:hAnsi="Arial" w:cs="Arial"/>
          <w:b/>
          <w:sz w:val="24"/>
          <w:szCs w:val="24"/>
        </w:rPr>
        <w:t>Scope</w:t>
      </w:r>
      <w:r w:rsidR="00436A5D" w:rsidRPr="00B876F7">
        <w:rPr>
          <w:rFonts w:ascii="Arial" w:hAnsi="Arial" w:cs="Arial"/>
          <w:b/>
          <w:sz w:val="24"/>
          <w:szCs w:val="24"/>
        </w:rPr>
        <w:t xml:space="preserve"> </w:t>
      </w:r>
      <w:r w:rsidR="00372C7A" w:rsidRPr="00B876F7">
        <w:rPr>
          <w:rFonts w:ascii="Arial" w:hAnsi="Arial" w:cs="Arial"/>
          <w:b/>
          <w:sz w:val="24"/>
          <w:szCs w:val="24"/>
        </w:rPr>
        <w:t xml:space="preserve"> </w:t>
      </w:r>
    </w:p>
    <w:p w14:paraId="691A6363" w14:textId="4A9373B2" w:rsidR="00D15B7C" w:rsidRPr="00B876F7" w:rsidRDefault="00200ED1" w:rsidP="4211E60A">
      <w:pPr>
        <w:pStyle w:val="ListParagraph"/>
        <w:numPr>
          <w:ilvl w:val="1"/>
          <w:numId w:val="1"/>
        </w:numPr>
        <w:spacing w:after="160" w:line="276" w:lineRule="auto"/>
        <w:ind w:left="350" w:hanging="357"/>
        <w:contextualSpacing w:val="0"/>
        <w:rPr>
          <w:rFonts w:eastAsia="Calibri"/>
          <w:sz w:val="24"/>
          <w:szCs w:val="24"/>
        </w:rPr>
      </w:pPr>
      <w:r w:rsidRPr="00B876F7">
        <w:rPr>
          <w:sz w:val="24"/>
          <w:szCs w:val="24"/>
        </w:rPr>
        <w:t>The principles outlined in this Remuneration Code apply to all remuneration decisions affecting the emoluments of the C</w:t>
      </w:r>
      <w:r w:rsidR="009C6D76" w:rsidRPr="00B876F7">
        <w:rPr>
          <w:sz w:val="24"/>
          <w:szCs w:val="24"/>
        </w:rPr>
        <w:t>EO</w:t>
      </w:r>
      <w:r w:rsidRPr="00B876F7">
        <w:rPr>
          <w:sz w:val="24"/>
          <w:szCs w:val="24"/>
        </w:rPr>
        <w:t xml:space="preserve"> and other Senior Postholders as prescribed in </w:t>
      </w:r>
      <w:r w:rsidR="00052E59">
        <w:rPr>
          <w:sz w:val="24"/>
          <w:szCs w:val="24"/>
        </w:rPr>
        <w:t>the ESCG Instrument and Articles of Government</w:t>
      </w:r>
      <w:r w:rsidRPr="00B876F7">
        <w:rPr>
          <w:sz w:val="24"/>
          <w:szCs w:val="24"/>
        </w:rPr>
        <w:t xml:space="preserve">. In England, the principles also apply to Senior Post holders as defined in EFSA accounts direction. </w:t>
      </w:r>
    </w:p>
    <w:p w14:paraId="3463C6E0" w14:textId="0EFE0320" w:rsidR="005A7C6C" w:rsidRPr="00B876F7" w:rsidRDefault="004E2B42" w:rsidP="00181134">
      <w:pPr>
        <w:pStyle w:val="ListParagraph"/>
        <w:numPr>
          <w:ilvl w:val="1"/>
          <w:numId w:val="1"/>
        </w:numPr>
        <w:spacing w:after="160" w:line="276" w:lineRule="auto"/>
        <w:ind w:left="350" w:hanging="357"/>
        <w:contextualSpacing w:val="0"/>
        <w:rPr>
          <w:color w:val="000000"/>
          <w:sz w:val="24"/>
          <w:szCs w:val="24"/>
        </w:rPr>
      </w:pPr>
      <w:r w:rsidRPr="00B876F7">
        <w:rPr>
          <w:color w:val="000000" w:themeColor="text1"/>
          <w:sz w:val="24"/>
          <w:szCs w:val="24"/>
        </w:rPr>
        <w:t>R</w:t>
      </w:r>
      <w:r w:rsidR="005A7C6C" w:rsidRPr="00B876F7">
        <w:rPr>
          <w:color w:val="000000" w:themeColor="text1"/>
          <w:sz w:val="24"/>
          <w:szCs w:val="24"/>
        </w:rPr>
        <w:t xml:space="preserve">esponsibility </w:t>
      </w:r>
      <w:r w:rsidRPr="00B876F7">
        <w:rPr>
          <w:color w:val="000000" w:themeColor="text1"/>
          <w:sz w:val="24"/>
          <w:szCs w:val="24"/>
        </w:rPr>
        <w:t xml:space="preserve">for remuneration of Senior Postholders </w:t>
      </w:r>
      <w:r w:rsidR="005A7C6C" w:rsidRPr="00B876F7">
        <w:rPr>
          <w:color w:val="000000" w:themeColor="text1"/>
          <w:sz w:val="24"/>
          <w:szCs w:val="24"/>
        </w:rPr>
        <w:t xml:space="preserve">rests with the </w:t>
      </w:r>
      <w:r w:rsidR="00052E59">
        <w:rPr>
          <w:color w:val="000000" w:themeColor="text1"/>
          <w:sz w:val="24"/>
          <w:szCs w:val="24"/>
        </w:rPr>
        <w:t xml:space="preserve">Search, </w:t>
      </w:r>
      <w:r w:rsidR="00D677DD" w:rsidRPr="00B876F7">
        <w:rPr>
          <w:color w:val="000000" w:themeColor="text1"/>
          <w:sz w:val="24"/>
          <w:szCs w:val="24"/>
        </w:rPr>
        <w:t xml:space="preserve">Performance </w:t>
      </w:r>
      <w:r w:rsidR="00A760B7" w:rsidRPr="00B876F7">
        <w:rPr>
          <w:color w:val="000000" w:themeColor="text1"/>
          <w:sz w:val="24"/>
          <w:szCs w:val="24"/>
        </w:rPr>
        <w:t>and Remuneration</w:t>
      </w:r>
      <w:r w:rsidRPr="00B876F7">
        <w:rPr>
          <w:color w:val="000000" w:themeColor="text1"/>
          <w:sz w:val="24"/>
          <w:szCs w:val="24"/>
        </w:rPr>
        <w:t xml:space="preserve"> Committee</w:t>
      </w:r>
      <w:r w:rsidR="005A7C6C" w:rsidRPr="00B876F7">
        <w:rPr>
          <w:color w:val="000000" w:themeColor="text1"/>
          <w:sz w:val="24"/>
          <w:szCs w:val="24"/>
        </w:rPr>
        <w:t xml:space="preserve">. </w:t>
      </w:r>
    </w:p>
    <w:p w14:paraId="72D14727" w14:textId="77777777" w:rsidR="005A7C6C" w:rsidRPr="00B876F7" w:rsidRDefault="005A7C6C" w:rsidP="005A7C6C">
      <w:pPr>
        <w:spacing w:after="0"/>
        <w:rPr>
          <w:rFonts w:ascii="Arial" w:hAnsi="Arial" w:cs="Arial"/>
          <w:b/>
          <w:sz w:val="24"/>
          <w:szCs w:val="24"/>
        </w:rPr>
      </w:pPr>
      <w:r w:rsidRPr="00B876F7">
        <w:rPr>
          <w:rFonts w:ascii="Arial" w:hAnsi="Arial" w:cs="Arial"/>
          <w:b/>
          <w:sz w:val="24"/>
          <w:szCs w:val="24"/>
        </w:rPr>
        <w:t xml:space="preserve">Guidance   </w:t>
      </w:r>
    </w:p>
    <w:p w14:paraId="61A3A3D1" w14:textId="77777777" w:rsidR="00A377A4" w:rsidRPr="00B876F7" w:rsidRDefault="005A7C6C" w:rsidP="009918BB">
      <w:pPr>
        <w:pStyle w:val="ListParagraph"/>
        <w:numPr>
          <w:ilvl w:val="1"/>
          <w:numId w:val="1"/>
        </w:numPr>
        <w:spacing w:after="160" w:line="276" w:lineRule="auto"/>
        <w:ind w:left="284" w:hanging="284"/>
        <w:contextualSpacing w:val="0"/>
        <w:rPr>
          <w:rFonts w:eastAsia="Calibri"/>
          <w:sz w:val="24"/>
          <w:szCs w:val="24"/>
        </w:rPr>
      </w:pPr>
      <w:r w:rsidRPr="00B876F7">
        <w:rPr>
          <w:sz w:val="24"/>
          <w:szCs w:val="24"/>
        </w:rPr>
        <w:t>The framework</w:t>
      </w:r>
      <w:r w:rsidR="00275341" w:rsidRPr="00B876F7">
        <w:rPr>
          <w:sz w:val="24"/>
          <w:szCs w:val="24"/>
        </w:rPr>
        <w:t xml:space="preserve"> </w:t>
      </w:r>
      <w:r w:rsidR="00A377A4" w:rsidRPr="00B876F7">
        <w:rPr>
          <w:sz w:val="24"/>
          <w:szCs w:val="24"/>
        </w:rPr>
        <w:t>for remuneration and pay should be:</w:t>
      </w:r>
    </w:p>
    <w:p w14:paraId="5DD0847B" w14:textId="35382E8B" w:rsidR="00A377A4" w:rsidRPr="00B876F7" w:rsidRDefault="00A377A4" w:rsidP="002F5B53">
      <w:pPr>
        <w:numPr>
          <w:ilvl w:val="0"/>
          <w:numId w:val="24"/>
        </w:numPr>
        <w:spacing w:after="31" w:line="265" w:lineRule="auto"/>
        <w:ind w:left="1276" w:hanging="556"/>
        <w:rPr>
          <w:rFonts w:ascii="Arial" w:hAnsi="Arial" w:cs="Arial"/>
          <w:sz w:val="24"/>
          <w:szCs w:val="24"/>
        </w:rPr>
      </w:pPr>
      <w:r w:rsidRPr="00B876F7">
        <w:rPr>
          <w:rFonts w:ascii="Arial" w:hAnsi="Arial" w:cs="Arial"/>
          <w:sz w:val="24"/>
          <w:szCs w:val="24"/>
        </w:rPr>
        <w:t xml:space="preserve">fair, appropriate and justifiable </w:t>
      </w:r>
      <w:r w:rsidR="00186247" w:rsidRPr="00B876F7">
        <w:rPr>
          <w:rFonts w:ascii="Arial" w:hAnsi="Arial" w:cs="Arial"/>
          <w:sz w:val="24"/>
          <w:szCs w:val="24"/>
        </w:rPr>
        <w:t>level of remuneration</w:t>
      </w:r>
    </w:p>
    <w:p w14:paraId="237750AE" w14:textId="77777777" w:rsidR="00A377A4" w:rsidRPr="00B876F7" w:rsidRDefault="00A377A4" w:rsidP="002F5B53">
      <w:pPr>
        <w:numPr>
          <w:ilvl w:val="0"/>
          <w:numId w:val="24"/>
        </w:numPr>
        <w:spacing w:after="34" w:line="265" w:lineRule="auto"/>
        <w:ind w:left="1276" w:hanging="556"/>
        <w:rPr>
          <w:rFonts w:ascii="Arial" w:hAnsi="Arial" w:cs="Arial"/>
          <w:sz w:val="24"/>
          <w:szCs w:val="24"/>
        </w:rPr>
      </w:pPr>
      <w:r w:rsidRPr="00B876F7">
        <w:rPr>
          <w:rFonts w:ascii="Arial" w:hAnsi="Arial" w:cs="Arial"/>
          <w:sz w:val="24"/>
          <w:szCs w:val="24"/>
        </w:rPr>
        <w:t>subject to procedural fairness</w:t>
      </w:r>
    </w:p>
    <w:p w14:paraId="335EEF90" w14:textId="77777777" w:rsidR="00A377A4" w:rsidRPr="00B876F7" w:rsidRDefault="00A377A4" w:rsidP="002F5B53">
      <w:pPr>
        <w:numPr>
          <w:ilvl w:val="0"/>
          <w:numId w:val="24"/>
        </w:numPr>
        <w:spacing w:after="34" w:line="265" w:lineRule="auto"/>
        <w:ind w:left="1276" w:hanging="556"/>
        <w:rPr>
          <w:rFonts w:ascii="Arial" w:hAnsi="Arial" w:cs="Arial"/>
          <w:sz w:val="24"/>
          <w:szCs w:val="24"/>
        </w:rPr>
      </w:pPr>
      <w:r w:rsidRPr="00B876F7">
        <w:rPr>
          <w:rFonts w:ascii="Arial" w:hAnsi="Arial" w:cs="Arial"/>
          <w:sz w:val="24"/>
          <w:szCs w:val="24"/>
        </w:rPr>
        <w:t>transparency and accountability</w:t>
      </w:r>
    </w:p>
    <w:p w14:paraId="5C1944AC" w14:textId="77777777" w:rsidR="00A377A4" w:rsidRPr="00B876F7" w:rsidRDefault="00A377A4" w:rsidP="00A377A4">
      <w:pPr>
        <w:spacing w:after="3" w:line="265" w:lineRule="auto"/>
        <w:ind w:left="1080"/>
        <w:rPr>
          <w:rFonts w:ascii="Arial" w:hAnsi="Arial" w:cs="Arial"/>
          <w:sz w:val="24"/>
          <w:szCs w:val="24"/>
        </w:rPr>
      </w:pPr>
    </w:p>
    <w:p w14:paraId="506C60C3" w14:textId="77777777" w:rsidR="00A02325" w:rsidRPr="00B876F7" w:rsidRDefault="00A377A4" w:rsidP="00A377A4">
      <w:pPr>
        <w:pStyle w:val="ListParagraph"/>
        <w:numPr>
          <w:ilvl w:val="1"/>
          <w:numId w:val="1"/>
        </w:numPr>
        <w:spacing w:after="160"/>
        <w:ind w:left="350" w:hanging="357"/>
        <w:contextualSpacing w:val="0"/>
        <w:rPr>
          <w:sz w:val="24"/>
          <w:szCs w:val="24"/>
        </w:rPr>
      </w:pPr>
      <w:r w:rsidRPr="00B876F7">
        <w:rPr>
          <w:sz w:val="24"/>
          <w:szCs w:val="24"/>
        </w:rPr>
        <w:t xml:space="preserve">To be </w:t>
      </w:r>
      <w:r w:rsidR="004A786F" w:rsidRPr="00B876F7">
        <w:rPr>
          <w:sz w:val="24"/>
          <w:szCs w:val="24"/>
        </w:rPr>
        <w:t>fa</w:t>
      </w:r>
      <w:r w:rsidR="002F5B53" w:rsidRPr="00B876F7">
        <w:rPr>
          <w:sz w:val="24"/>
          <w:szCs w:val="24"/>
        </w:rPr>
        <w:t>ir, appropriate and justifiable:</w:t>
      </w:r>
    </w:p>
    <w:p w14:paraId="68C8F05B" w14:textId="77777777" w:rsidR="004A786F" w:rsidRPr="00B876F7" w:rsidRDefault="00A377A4" w:rsidP="002F5B53">
      <w:pPr>
        <w:pStyle w:val="ListParagraph"/>
        <w:numPr>
          <w:ilvl w:val="2"/>
          <w:numId w:val="25"/>
        </w:numPr>
        <w:spacing w:after="160"/>
        <w:ind w:left="1276" w:hanging="578"/>
        <w:contextualSpacing w:val="0"/>
        <w:rPr>
          <w:sz w:val="24"/>
          <w:szCs w:val="24"/>
        </w:rPr>
      </w:pPr>
      <w:r w:rsidRPr="00B876F7">
        <w:rPr>
          <w:sz w:val="24"/>
          <w:szCs w:val="24"/>
        </w:rPr>
        <w:t xml:space="preserve">Pay should be considered in </w:t>
      </w:r>
      <w:r w:rsidR="004A786F" w:rsidRPr="00B876F7">
        <w:rPr>
          <w:sz w:val="24"/>
          <w:szCs w:val="24"/>
        </w:rPr>
        <w:t xml:space="preserve">the context in which the </w:t>
      </w:r>
      <w:r w:rsidRPr="00B876F7">
        <w:rPr>
          <w:sz w:val="24"/>
          <w:szCs w:val="24"/>
        </w:rPr>
        <w:t>College operates.</w:t>
      </w:r>
    </w:p>
    <w:p w14:paraId="7FB9B2E3" w14:textId="77777777" w:rsidR="004A786F" w:rsidRPr="00B876F7" w:rsidRDefault="00A377A4" w:rsidP="002F5B53">
      <w:pPr>
        <w:pStyle w:val="ListParagraph"/>
        <w:numPr>
          <w:ilvl w:val="2"/>
          <w:numId w:val="25"/>
        </w:numPr>
        <w:spacing w:after="160"/>
        <w:ind w:left="1276" w:hanging="578"/>
        <w:contextualSpacing w:val="0"/>
        <w:rPr>
          <w:sz w:val="24"/>
          <w:szCs w:val="24"/>
        </w:rPr>
      </w:pPr>
      <w:r w:rsidRPr="00B876F7">
        <w:rPr>
          <w:sz w:val="24"/>
          <w:szCs w:val="24"/>
        </w:rPr>
        <w:t xml:space="preserve">Pay </w:t>
      </w:r>
      <w:r w:rsidR="004A786F" w:rsidRPr="00B876F7">
        <w:rPr>
          <w:sz w:val="24"/>
          <w:szCs w:val="24"/>
        </w:rPr>
        <w:t>must be linked to the value</w:t>
      </w:r>
      <w:r w:rsidRPr="00B876F7">
        <w:rPr>
          <w:sz w:val="24"/>
          <w:szCs w:val="24"/>
        </w:rPr>
        <w:t xml:space="preserve"> delivered by the individual (based on a number of components).</w:t>
      </w:r>
    </w:p>
    <w:p w14:paraId="1210BAE2" w14:textId="121D08A0" w:rsidR="004A786F" w:rsidRPr="00B876F7" w:rsidRDefault="00A377A4" w:rsidP="4211E60A">
      <w:pPr>
        <w:pStyle w:val="ListParagraph"/>
        <w:numPr>
          <w:ilvl w:val="2"/>
          <w:numId w:val="25"/>
        </w:numPr>
        <w:spacing w:after="160"/>
        <w:ind w:left="1276" w:hanging="578"/>
        <w:contextualSpacing w:val="0"/>
        <w:rPr>
          <w:sz w:val="24"/>
          <w:szCs w:val="24"/>
        </w:rPr>
      </w:pPr>
      <w:r w:rsidRPr="00B876F7">
        <w:rPr>
          <w:sz w:val="24"/>
          <w:szCs w:val="24"/>
        </w:rPr>
        <w:t xml:space="preserve">Pay </w:t>
      </w:r>
      <w:r w:rsidR="004A786F" w:rsidRPr="00B876F7">
        <w:rPr>
          <w:sz w:val="24"/>
          <w:szCs w:val="24"/>
        </w:rPr>
        <w:t xml:space="preserve">must consider equality, </w:t>
      </w:r>
      <w:r w:rsidR="28209BC7" w:rsidRPr="00B876F7">
        <w:rPr>
          <w:sz w:val="24"/>
          <w:szCs w:val="24"/>
        </w:rPr>
        <w:t>diversity,</w:t>
      </w:r>
      <w:r w:rsidR="004A786F" w:rsidRPr="00B876F7">
        <w:rPr>
          <w:sz w:val="24"/>
          <w:szCs w:val="24"/>
        </w:rPr>
        <w:t xml:space="preserve"> and inclusion </w:t>
      </w:r>
      <w:r w:rsidRPr="00B876F7">
        <w:rPr>
          <w:sz w:val="24"/>
          <w:szCs w:val="24"/>
        </w:rPr>
        <w:t>to ensure</w:t>
      </w:r>
      <w:r w:rsidR="004A786F" w:rsidRPr="00B876F7">
        <w:rPr>
          <w:sz w:val="24"/>
          <w:szCs w:val="24"/>
        </w:rPr>
        <w:t xml:space="preserve"> there are no biases pertaining </w:t>
      </w:r>
      <w:r w:rsidR="575057AD" w:rsidRPr="00B876F7">
        <w:rPr>
          <w:sz w:val="24"/>
          <w:szCs w:val="24"/>
        </w:rPr>
        <w:t>to protected</w:t>
      </w:r>
      <w:r w:rsidRPr="00B876F7">
        <w:rPr>
          <w:sz w:val="24"/>
          <w:szCs w:val="24"/>
        </w:rPr>
        <w:t xml:space="preserve"> characteristics</w:t>
      </w:r>
      <w:r w:rsidR="00186247" w:rsidRPr="00B876F7">
        <w:rPr>
          <w:sz w:val="24"/>
          <w:szCs w:val="24"/>
        </w:rPr>
        <w:t xml:space="preserve"> within the pay structure</w:t>
      </w:r>
      <w:r w:rsidRPr="00B876F7">
        <w:rPr>
          <w:sz w:val="24"/>
          <w:szCs w:val="24"/>
        </w:rPr>
        <w:t>.</w:t>
      </w:r>
    </w:p>
    <w:p w14:paraId="26DE32DD" w14:textId="313A058B" w:rsidR="00A377A4" w:rsidRPr="00B876F7" w:rsidRDefault="00A377A4" w:rsidP="4211E60A">
      <w:pPr>
        <w:pStyle w:val="ListParagraph"/>
        <w:numPr>
          <w:ilvl w:val="2"/>
          <w:numId w:val="25"/>
        </w:numPr>
        <w:spacing w:after="160"/>
        <w:ind w:left="1276" w:hanging="578"/>
        <w:contextualSpacing w:val="0"/>
        <w:rPr>
          <w:sz w:val="24"/>
          <w:szCs w:val="24"/>
        </w:rPr>
      </w:pPr>
      <w:r w:rsidRPr="00B876F7">
        <w:rPr>
          <w:sz w:val="24"/>
          <w:szCs w:val="24"/>
        </w:rPr>
        <w:t xml:space="preserve">Clarity is </w:t>
      </w:r>
      <w:r w:rsidR="00D677DD" w:rsidRPr="00B876F7">
        <w:rPr>
          <w:sz w:val="24"/>
          <w:szCs w:val="24"/>
        </w:rPr>
        <w:t>required i</w:t>
      </w:r>
      <w:r w:rsidR="009C6D76" w:rsidRPr="00B876F7">
        <w:rPr>
          <w:sz w:val="24"/>
          <w:szCs w:val="24"/>
        </w:rPr>
        <w:t>n</w:t>
      </w:r>
      <w:r w:rsidR="00D677DD" w:rsidRPr="00B876F7">
        <w:rPr>
          <w:sz w:val="24"/>
          <w:szCs w:val="24"/>
        </w:rPr>
        <w:t xml:space="preserve"> stating expectations </w:t>
      </w:r>
      <w:r w:rsidR="004A786F" w:rsidRPr="00B876F7">
        <w:rPr>
          <w:sz w:val="24"/>
          <w:szCs w:val="24"/>
        </w:rPr>
        <w:t xml:space="preserve"> from staff</w:t>
      </w:r>
      <w:r w:rsidRPr="00B876F7">
        <w:rPr>
          <w:sz w:val="24"/>
          <w:szCs w:val="24"/>
        </w:rPr>
        <w:t xml:space="preserve"> </w:t>
      </w:r>
      <w:r w:rsidR="004A786F" w:rsidRPr="00B876F7">
        <w:rPr>
          <w:sz w:val="24"/>
          <w:szCs w:val="24"/>
        </w:rPr>
        <w:t>i.e. what is ‘nor</w:t>
      </w:r>
      <w:r w:rsidRPr="00B876F7">
        <w:rPr>
          <w:sz w:val="24"/>
          <w:szCs w:val="24"/>
        </w:rPr>
        <w:t>mal’ and what is ‘exceptional’.</w:t>
      </w:r>
    </w:p>
    <w:p w14:paraId="35521C0E" w14:textId="77777777" w:rsidR="00A97290" w:rsidRPr="00B876F7" w:rsidRDefault="004A786F" w:rsidP="002F5B53">
      <w:pPr>
        <w:pStyle w:val="ListParagraph"/>
        <w:numPr>
          <w:ilvl w:val="2"/>
          <w:numId w:val="25"/>
        </w:numPr>
        <w:spacing w:after="160"/>
        <w:ind w:left="1276" w:hanging="578"/>
        <w:contextualSpacing w:val="0"/>
        <w:rPr>
          <w:sz w:val="24"/>
          <w:szCs w:val="24"/>
        </w:rPr>
      </w:pPr>
      <w:r w:rsidRPr="00B876F7">
        <w:rPr>
          <w:sz w:val="24"/>
          <w:szCs w:val="24"/>
        </w:rPr>
        <w:t>There must be a robust and consistent process for setting objectives and assessi</w:t>
      </w:r>
      <w:r w:rsidR="00A377A4" w:rsidRPr="00B876F7">
        <w:rPr>
          <w:sz w:val="24"/>
          <w:szCs w:val="24"/>
        </w:rPr>
        <w:t>ng an individual’s contribution.</w:t>
      </w:r>
    </w:p>
    <w:p w14:paraId="2A0B21C6" w14:textId="77777777" w:rsidR="004A786F" w:rsidRPr="00B876F7" w:rsidRDefault="004A786F" w:rsidP="002F5B53">
      <w:pPr>
        <w:pStyle w:val="ListParagraph"/>
        <w:numPr>
          <w:ilvl w:val="2"/>
          <w:numId w:val="25"/>
        </w:numPr>
        <w:spacing w:after="160"/>
        <w:ind w:left="1276" w:hanging="578"/>
        <w:contextualSpacing w:val="0"/>
        <w:rPr>
          <w:sz w:val="24"/>
          <w:szCs w:val="24"/>
        </w:rPr>
      </w:pPr>
      <w:r w:rsidRPr="00B876F7">
        <w:rPr>
          <w:sz w:val="24"/>
          <w:szCs w:val="24"/>
        </w:rPr>
        <w:t xml:space="preserve">Awards made in respect of annual bonus arrangements linked to the achievement of specific annual objectives should not be consolidated. </w:t>
      </w:r>
    </w:p>
    <w:p w14:paraId="081B76DC" w14:textId="77777777" w:rsidR="004A786F" w:rsidRPr="00B876F7" w:rsidRDefault="004A786F" w:rsidP="002F5B53">
      <w:pPr>
        <w:pStyle w:val="ListParagraph"/>
        <w:numPr>
          <w:ilvl w:val="2"/>
          <w:numId w:val="25"/>
        </w:numPr>
        <w:spacing w:after="160"/>
        <w:ind w:left="1276" w:hanging="578"/>
        <w:contextualSpacing w:val="0"/>
        <w:rPr>
          <w:sz w:val="24"/>
          <w:szCs w:val="24"/>
        </w:rPr>
      </w:pPr>
      <w:r w:rsidRPr="00B876F7">
        <w:rPr>
          <w:sz w:val="24"/>
          <w:szCs w:val="24"/>
        </w:rPr>
        <w:t xml:space="preserve">From time to time the value of a role may need to be reviewed in light of changing conditions, sustained performance, experience etc. </w:t>
      </w:r>
    </w:p>
    <w:p w14:paraId="20AB85CE" w14:textId="044AB4DA" w:rsidR="004A786F" w:rsidRPr="00B876F7" w:rsidRDefault="004A786F" w:rsidP="4211E60A">
      <w:pPr>
        <w:pStyle w:val="ListParagraph"/>
        <w:numPr>
          <w:ilvl w:val="2"/>
          <w:numId w:val="25"/>
        </w:numPr>
        <w:spacing w:after="160"/>
        <w:ind w:left="1276" w:hanging="578"/>
        <w:contextualSpacing w:val="0"/>
        <w:rPr>
          <w:sz w:val="24"/>
          <w:szCs w:val="24"/>
        </w:rPr>
      </w:pPr>
      <w:r w:rsidRPr="00B876F7">
        <w:rPr>
          <w:sz w:val="24"/>
          <w:szCs w:val="24"/>
        </w:rPr>
        <w:t xml:space="preserve">Non-achievement of an individual’s expected contribution should be clearly addressed through </w:t>
      </w:r>
      <w:r w:rsidR="00D677DD" w:rsidRPr="00B876F7">
        <w:rPr>
          <w:sz w:val="24"/>
          <w:szCs w:val="24"/>
        </w:rPr>
        <w:t xml:space="preserve">Senior Post Holder </w:t>
      </w:r>
      <w:r w:rsidRPr="00B876F7">
        <w:rPr>
          <w:sz w:val="24"/>
          <w:szCs w:val="24"/>
        </w:rPr>
        <w:t>performance management</w:t>
      </w:r>
      <w:r w:rsidR="00D677DD" w:rsidRPr="00B876F7">
        <w:rPr>
          <w:sz w:val="24"/>
          <w:szCs w:val="24"/>
        </w:rPr>
        <w:t xml:space="preserve"> framework</w:t>
      </w:r>
      <w:r w:rsidRPr="00B876F7">
        <w:rPr>
          <w:sz w:val="24"/>
          <w:szCs w:val="24"/>
        </w:rPr>
        <w:t xml:space="preserve">. </w:t>
      </w:r>
    </w:p>
    <w:p w14:paraId="6F38E5EE" w14:textId="77777777" w:rsidR="004A786F" w:rsidRPr="00B876F7" w:rsidRDefault="004A786F" w:rsidP="002F5B53">
      <w:pPr>
        <w:pStyle w:val="ListParagraph"/>
        <w:numPr>
          <w:ilvl w:val="2"/>
          <w:numId w:val="25"/>
        </w:numPr>
        <w:spacing w:after="160"/>
        <w:ind w:left="1276" w:hanging="578"/>
        <w:contextualSpacing w:val="0"/>
        <w:rPr>
          <w:sz w:val="24"/>
          <w:szCs w:val="24"/>
        </w:rPr>
      </w:pPr>
      <w:r w:rsidRPr="00B876F7">
        <w:rPr>
          <w:sz w:val="24"/>
          <w:szCs w:val="24"/>
        </w:rPr>
        <w:t xml:space="preserve">Any severance payments must be reasonable and justifiable. </w:t>
      </w:r>
    </w:p>
    <w:p w14:paraId="65A190EF" w14:textId="77777777" w:rsidR="004A786F" w:rsidRPr="00B876F7" w:rsidRDefault="00A377A4" w:rsidP="00A377A4">
      <w:pPr>
        <w:pStyle w:val="ListParagraph"/>
        <w:numPr>
          <w:ilvl w:val="1"/>
          <w:numId w:val="1"/>
        </w:numPr>
        <w:spacing w:after="160"/>
        <w:ind w:left="350" w:hanging="357"/>
        <w:contextualSpacing w:val="0"/>
        <w:rPr>
          <w:sz w:val="24"/>
          <w:szCs w:val="24"/>
        </w:rPr>
      </w:pPr>
      <w:r w:rsidRPr="00B876F7">
        <w:rPr>
          <w:sz w:val="24"/>
          <w:szCs w:val="24"/>
        </w:rPr>
        <w:lastRenderedPageBreak/>
        <w:t>To achieve p</w:t>
      </w:r>
      <w:r w:rsidR="004A786F" w:rsidRPr="00B876F7">
        <w:rPr>
          <w:sz w:val="24"/>
          <w:szCs w:val="24"/>
        </w:rPr>
        <w:t xml:space="preserve">rocedural </w:t>
      </w:r>
      <w:r w:rsidRPr="00B876F7">
        <w:rPr>
          <w:sz w:val="24"/>
          <w:szCs w:val="24"/>
        </w:rPr>
        <w:t>f</w:t>
      </w:r>
      <w:r w:rsidR="004A786F" w:rsidRPr="00B876F7">
        <w:rPr>
          <w:sz w:val="24"/>
          <w:szCs w:val="24"/>
        </w:rPr>
        <w:t>airness</w:t>
      </w:r>
      <w:r w:rsidRPr="00B876F7">
        <w:rPr>
          <w:sz w:val="24"/>
          <w:szCs w:val="24"/>
        </w:rPr>
        <w:t>:</w:t>
      </w:r>
    </w:p>
    <w:p w14:paraId="02420336" w14:textId="0F9D0C35" w:rsidR="005869C4" w:rsidRPr="00B876F7" w:rsidRDefault="005869C4" w:rsidP="4211E60A">
      <w:pPr>
        <w:pStyle w:val="ListParagraph"/>
        <w:numPr>
          <w:ilvl w:val="1"/>
          <w:numId w:val="28"/>
        </w:numPr>
        <w:spacing w:after="160"/>
        <w:ind w:left="1276" w:hanging="567"/>
        <w:contextualSpacing w:val="0"/>
        <w:rPr>
          <w:sz w:val="24"/>
          <w:szCs w:val="24"/>
        </w:rPr>
      </w:pPr>
      <w:r w:rsidRPr="00B876F7">
        <w:rPr>
          <w:sz w:val="24"/>
          <w:szCs w:val="24"/>
        </w:rPr>
        <w:t xml:space="preserve">Senior Postholder remuneration should be determined in the context of the </w:t>
      </w:r>
      <w:r w:rsidR="00052E59">
        <w:rPr>
          <w:sz w:val="24"/>
          <w:szCs w:val="24"/>
        </w:rPr>
        <w:t>Board</w:t>
      </w:r>
      <w:r w:rsidRPr="00B876F7">
        <w:rPr>
          <w:sz w:val="24"/>
          <w:szCs w:val="24"/>
        </w:rPr>
        <w:t xml:space="preserve">’s approach to rewarding all its staff, and in particular, consideration should be given annually to the rate of increase of the average remuneration of all other staff. </w:t>
      </w:r>
    </w:p>
    <w:p w14:paraId="3981CEB0" w14:textId="79468A64" w:rsidR="005869C4" w:rsidRPr="00B876F7" w:rsidRDefault="005869C4" w:rsidP="4211E60A">
      <w:pPr>
        <w:pStyle w:val="ListParagraph"/>
        <w:numPr>
          <w:ilvl w:val="1"/>
          <w:numId w:val="28"/>
        </w:numPr>
        <w:spacing w:after="160"/>
        <w:ind w:left="1276" w:hanging="567"/>
        <w:contextualSpacing w:val="0"/>
        <w:rPr>
          <w:sz w:val="24"/>
          <w:szCs w:val="24"/>
        </w:rPr>
      </w:pPr>
      <w:r w:rsidRPr="00B876F7">
        <w:rPr>
          <w:sz w:val="24"/>
          <w:szCs w:val="24"/>
        </w:rPr>
        <w:t xml:space="preserve">No individual can be involved in deciding </w:t>
      </w:r>
      <w:r w:rsidR="00D677DD" w:rsidRPr="00B876F7">
        <w:rPr>
          <w:sz w:val="24"/>
          <w:szCs w:val="24"/>
        </w:rPr>
        <w:t>their</w:t>
      </w:r>
      <w:r w:rsidRPr="00B876F7">
        <w:rPr>
          <w:sz w:val="24"/>
          <w:szCs w:val="24"/>
        </w:rPr>
        <w:t xml:space="preserve"> own remuneration. </w:t>
      </w:r>
    </w:p>
    <w:p w14:paraId="43E305E3" w14:textId="5E7F4A0A" w:rsidR="005869C4" w:rsidRPr="00B876F7" w:rsidRDefault="005869C4" w:rsidP="4211E60A">
      <w:pPr>
        <w:pStyle w:val="ListParagraph"/>
        <w:numPr>
          <w:ilvl w:val="1"/>
          <w:numId w:val="28"/>
        </w:numPr>
        <w:spacing w:after="160"/>
        <w:ind w:left="1276" w:hanging="567"/>
        <w:contextualSpacing w:val="0"/>
        <w:rPr>
          <w:sz w:val="24"/>
          <w:szCs w:val="24"/>
        </w:rPr>
      </w:pPr>
      <w:r w:rsidRPr="00B876F7">
        <w:rPr>
          <w:sz w:val="24"/>
          <w:szCs w:val="24"/>
        </w:rPr>
        <w:t xml:space="preserve">The </w:t>
      </w:r>
      <w:r w:rsidR="00D677DD" w:rsidRPr="00B876F7">
        <w:rPr>
          <w:sz w:val="24"/>
          <w:szCs w:val="24"/>
        </w:rPr>
        <w:t>CEO</w:t>
      </w:r>
      <w:r w:rsidRPr="00B876F7">
        <w:rPr>
          <w:sz w:val="24"/>
          <w:szCs w:val="24"/>
        </w:rPr>
        <w:t xml:space="preserve"> must not be a member of the </w:t>
      </w:r>
      <w:r w:rsidR="00052E59">
        <w:rPr>
          <w:sz w:val="24"/>
          <w:szCs w:val="24"/>
        </w:rPr>
        <w:t>Search, Performance and Remuneration Committee for</w:t>
      </w:r>
      <w:r w:rsidRPr="00B876F7">
        <w:rPr>
          <w:sz w:val="24"/>
          <w:szCs w:val="24"/>
        </w:rPr>
        <w:t xml:space="preserve"> items </w:t>
      </w:r>
      <w:r w:rsidR="00052E59">
        <w:rPr>
          <w:sz w:val="24"/>
          <w:szCs w:val="24"/>
        </w:rPr>
        <w:t>discussing</w:t>
      </w:r>
      <w:r w:rsidRPr="00B876F7">
        <w:rPr>
          <w:sz w:val="24"/>
          <w:szCs w:val="24"/>
        </w:rPr>
        <w:t xml:space="preserve"> </w:t>
      </w:r>
      <w:r w:rsidR="00D677DD" w:rsidRPr="00B876F7">
        <w:rPr>
          <w:sz w:val="24"/>
          <w:szCs w:val="24"/>
        </w:rPr>
        <w:t xml:space="preserve">their </w:t>
      </w:r>
      <w:r w:rsidRPr="00B876F7">
        <w:rPr>
          <w:sz w:val="24"/>
          <w:szCs w:val="24"/>
        </w:rPr>
        <w:t xml:space="preserve">own remuneration. </w:t>
      </w:r>
    </w:p>
    <w:p w14:paraId="7765BF09" w14:textId="77777777" w:rsidR="0083283C" w:rsidRPr="00B876F7" w:rsidRDefault="002F5B53" w:rsidP="00A377A4">
      <w:pPr>
        <w:pStyle w:val="ListParagraph"/>
        <w:numPr>
          <w:ilvl w:val="1"/>
          <w:numId w:val="1"/>
        </w:numPr>
        <w:spacing w:after="160"/>
        <w:ind w:left="350" w:hanging="357"/>
        <w:contextualSpacing w:val="0"/>
        <w:rPr>
          <w:sz w:val="24"/>
          <w:szCs w:val="24"/>
        </w:rPr>
      </w:pPr>
      <w:r w:rsidRPr="00B876F7">
        <w:rPr>
          <w:sz w:val="24"/>
          <w:szCs w:val="24"/>
        </w:rPr>
        <w:t>Transparency and Accountability:</w:t>
      </w:r>
    </w:p>
    <w:p w14:paraId="155EB9DA" w14:textId="12CA439B" w:rsidR="005A7C6C" w:rsidRPr="00B876F7" w:rsidRDefault="0083283C" w:rsidP="4211E60A">
      <w:pPr>
        <w:pStyle w:val="ListParagraph"/>
        <w:numPr>
          <w:ilvl w:val="1"/>
          <w:numId w:val="27"/>
        </w:numPr>
        <w:spacing w:after="160"/>
        <w:ind w:left="1276" w:hanging="556"/>
        <w:contextualSpacing w:val="0"/>
        <w:rPr>
          <w:sz w:val="24"/>
          <w:szCs w:val="24"/>
        </w:rPr>
      </w:pPr>
      <w:r w:rsidRPr="00B876F7">
        <w:rPr>
          <w:sz w:val="24"/>
          <w:szCs w:val="24"/>
        </w:rPr>
        <w:t xml:space="preserve">The process for setting remuneration must be transparent. For Senior </w:t>
      </w:r>
      <w:r w:rsidR="003D1810" w:rsidRPr="00B876F7">
        <w:rPr>
          <w:sz w:val="24"/>
          <w:szCs w:val="24"/>
        </w:rPr>
        <w:t>Postholders there must be</w:t>
      </w:r>
      <w:r w:rsidR="009C6D76" w:rsidRPr="00B876F7">
        <w:rPr>
          <w:sz w:val="24"/>
          <w:szCs w:val="24"/>
        </w:rPr>
        <w:t xml:space="preserve"> </w:t>
      </w:r>
      <w:r w:rsidR="555C07AE" w:rsidRPr="00B876F7">
        <w:rPr>
          <w:sz w:val="24"/>
          <w:szCs w:val="24"/>
        </w:rPr>
        <w:t>corporation level</w:t>
      </w:r>
      <w:r w:rsidRPr="00B876F7">
        <w:rPr>
          <w:sz w:val="24"/>
          <w:szCs w:val="24"/>
        </w:rPr>
        <w:t xml:space="preserve"> justification for remuneration that relates to the competitive environment, the value of the roles and institutional performance. The remuneration of the </w:t>
      </w:r>
      <w:r w:rsidR="00D677DD" w:rsidRPr="00B876F7">
        <w:rPr>
          <w:sz w:val="24"/>
          <w:szCs w:val="24"/>
        </w:rPr>
        <w:t>CEO</w:t>
      </w:r>
      <w:r w:rsidRPr="00B876F7">
        <w:rPr>
          <w:sz w:val="24"/>
          <w:szCs w:val="24"/>
        </w:rPr>
        <w:t xml:space="preserve"> must be separately justified, published</w:t>
      </w:r>
      <w:r w:rsidR="00A97290" w:rsidRPr="00B876F7">
        <w:rPr>
          <w:sz w:val="24"/>
          <w:szCs w:val="24"/>
        </w:rPr>
        <w:t xml:space="preserve"> in the annual financial statement.</w:t>
      </w:r>
    </w:p>
    <w:p w14:paraId="6E0CA427" w14:textId="20AE9B38" w:rsidR="005869C4" w:rsidRPr="00B876F7" w:rsidRDefault="005869C4" w:rsidP="005869C4">
      <w:pPr>
        <w:pStyle w:val="ListParagraph"/>
        <w:numPr>
          <w:ilvl w:val="1"/>
          <w:numId w:val="1"/>
        </w:numPr>
        <w:spacing w:after="160"/>
        <w:ind w:left="350" w:hanging="357"/>
        <w:contextualSpacing w:val="0"/>
        <w:rPr>
          <w:sz w:val="24"/>
          <w:szCs w:val="24"/>
        </w:rPr>
      </w:pPr>
      <w:r w:rsidRPr="00B876F7">
        <w:rPr>
          <w:sz w:val="24"/>
          <w:szCs w:val="24"/>
        </w:rPr>
        <w:t>The pay of Senior Postholders is reviewed annually (as per contract of employment) usually (but not always) at the same time as the pay review for all other staff.</w:t>
      </w:r>
    </w:p>
    <w:p w14:paraId="0382CB21" w14:textId="31EE50AE" w:rsidR="009C6D76" w:rsidRPr="00B876F7" w:rsidRDefault="00052E59" w:rsidP="00B876F7">
      <w:pPr>
        <w:pStyle w:val="ListParagraph"/>
        <w:numPr>
          <w:ilvl w:val="1"/>
          <w:numId w:val="1"/>
        </w:numPr>
        <w:spacing w:after="160"/>
        <w:ind w:left="350" w:hanging="357"/>
        <w:contextualSpacing w:val="0"/>
        <w:rPr>
          <w:sz w:val="24"/>
          <w:szCs w:val="24"/>
        </w:rPr>
      </w:pPr>
      <w:r w:rsidRPr="00EF27D2">
        <w:rPr>
          <w:sz w:val="24"/>
          <w:szCs w:val="24"/>
        </w:rPr>
        <w:t>The Board</w:t>
      </w:r>
      <w:r w:rsidR="009C6D76" w:rsidRPr="00EF27D2">
        <w:rPr>
          <w:sz w:val="24"/>
          <w:szCs w:val="24"/>
        </w:rPr>
        <w:t xml:space="preserve"> will publish a readily accessible annual statement, based on an annual report to its governing body. This report must contain</w:t>
      </w:r>
      <w:r w:rsidR="00E469E3" w:rsidRPr="00EF27D2">
        <w:rPr>
          <w:sz w:val="24"/>
          <w:szCs w:val="24"/>
        </w:rPr>
        <w:t>:</w:t>
      </w:r>
    </w:p>
    <w:p w14:paraId="6D886993" w14:textId="23E664D6" w:rsidR="009C6D76" w:rsidRPr="00731EB9" w:rsidRDefault="008920E6" w:rsidP="00731EB9">
      <w:pPr>
        <w:pStyle w:val="ListParagraph"/>
        <w:numPr>
          <w:ilvl w:val="0"/>
          <w:numId w:val="33"/>
        </w:numPr>
        <w:rPr>
          <w:sz w:val="24"/>
          <w:szCs w:val="24"/>
        </w:rPr>
      </w:pPr>
      <w:r w:rsidRPr="00EF27D2">
        <w:rPr>
          <w:sz w:val="24"/>
          <w:szCs w:val="24"/>
        </w:rPr>
        <w:t>a</w:t>
      </w:r>
      <w:r w:rsidR="009C6D76" w:rsidRPr="00EF27D2">
        <w:rPr>
          <w:sz w:val="24"/>
          <w:szCs w:val="24"/>
        </w:rPr>
        <w:t xml:space="preserve"> list of senior Postholders within the remit of </w:t>
      </w:r>
      <w:r w:rsidR="00052E59" w:rsidRPr="00EF27D2">
        <w:rPr>
          <w:sz w:val="24"/>
          <w:szCs w:val="24"/>
        </w:rPr>
        <w:t xml:space="preserve">Search, </w:t>
      </w:r>
      <w:r w:rsidR="009C6D76" w:rsidRPr="00EF27D2">
        <w:rPr>
          <w:sz w:val="24"/>
          <w:szCs w:val="24"/>
        </w:rPr>
        <w:t xml:space="preserve">Performance and Remuneration </w:t>
      </w:r>
      <w:r w:rsidR="00052E59" w:rsidRPr="00EF27D2">
        <w:rPr>
          <w:sz w:val="24"/>
          <w:szCs w:val="24"/>
        </w:rPr>
        <w:t>C</w:t>
      </w:r>
      <w:r w:rsidR="00A67596" w:rsidRPr="00EF27D2">
        <w:rPr>
          <w:sz w:val="24"/>
          <w:szCs w:val="24"/>
        </w:rPr>
        <w:t>ommittee.</w:t>
      </w:r>
    </w:p>
    <w:p w14:paraId="60910743" w14:textId="265D8761" w:rsidR="009C6D76" w:rsidRPr="00731EB9" w:rsidRDefault="00052E59" w:rsidP="00731EB9">
      <w:pPr>
        <w:pStyle w:val="ListParagraph"/>
        <w:numPr>
          <w:ilvl w:val="0"/>
          <w:numId w:val="33"/>
        </w:numPr>
        <w:rPr>
          <w:sz w:val="24"/>
          <w:szCs w:val="24"/>
        </w:rPr>
      </w:pPr>
      <w:r w:rsidRPr="00EF27D2">
        <w:rPr>
          <w:sz w:val="24"/>
          <w:szCs w:val="24"/>
        </w:rPr>
        <w:t xml:space="preserve">This </w:t>
      </w:r>
      <w:r w:rsidR="00BE7E87" w:rsidRPr="00EF27D2">
        <w:rPr>
          <w:sz w:val="24"/>
          <w:szCs w:val="24"/>
        </w:rPr>
        <w:t>guidance</w:t>
      </w:r>
      <w:r w:rsidRPr="00EF27D2">
        <w:rPr>
          <w:sz w:val="24"/>
          <w:szCs w:val="24"/>
        </w:rPr>
        <w:t xml:space="preserve"> </w:t>
      </w:r>
    </w:p>
    <w:p w14:paraId="47C39BDF" w14:textId="2939924F" w:rsidR="00261953" w:rsidRPr="00731EB9" w:rsidRDefault="00261953" w:rsidP="00731EB9">
      <w:pPr>
        <w:pStyle w:val="ListParagraph"/>
        <w:numPr>
          <w:ilvl w:val="0"/>
          <w:numId w:val="33"/>
        </w:numPr>
        <w:rPr>
          <w:sz w:val="24"/>
          <w:szCs w:val="24"/>
        </w:rPr>
      </w:pPr>
      <w:r w:rsidRPr="00EF27D2">
        <w:rPr>
          <w:sz w:val="24"/>
          <w:szCs w:val="24"/>
        </w:rPr>
        <w:t>Its policy on income derived from external activities</w:t>
      </w:r>
      <w:r w:rsidR="001A50D3" w:rsidRPr="00EF27D2">
        <w:rPr>
          <w:sz w:val="24"/>
          <w:szCs w:val="24"/>
        </w:rPr>
        <w:t xml:space="preserve"> which is published </w:t>
      </w:r>
      <w:r w:rsidR="00F912BF" w:rsidRPr="00EF27D2">
        <w:rPr>
          <w:sz w:val="24"/>
          <w:szCs w:val="24"/>
        </w:rPr>
        <w:t xml:space="preserve">in ESCG financial statements. </w:t>
      </w:r>
    </w:p>
    <w:p w14:paraId="09609A2F" w14:textId="743711C5" w:rsidR="00261953" w:rsidRPr="00302C66" w:rsidRDefault="00261953" w:rsidP="00731EB9">
      <w:pPr>
        <w:pStyle w:val="ListParagraph"/>
        <w:numPr>
          <w:ilvl w:val="0"/>
          <w:numId w:val="33"/>
        </w:numPr>
        <w:rPr>
          <w:sz w:val="24"/>
          <w:szCs w:val="24"/>
        </w:rPr>
      </w:pPr>
      <w:r w:rsidRPr="00EF27D2">
        <w:rPr>
          <w:sz w:val="24"/>
          <w:szCs w:val="24"/>
        </w:rPr>
        <w:t>The pay multiple of the CE</w:t>
      </w:r>
      <w:r w:rsidR="00052E59" w:rsidRPr="00EF27D2">
        <w:rPr>
          <w:sz w:val="24"/>
          <w:szCs w:val="24"/>
        </w:rPr>
        <w:t>O and the median earning of the</w:t>
      </w:r>
      <w:r w:rsidRPr="00EF27D2">
        <w:rPr>
          <w:sz w:val="24"/>
          <w:szCs w:val="24"/>
        </w:rPr>
        <w:t xml:space="preserve"> whole workforce, illustrating how that multiple has changed over time and, if it is significantly above any </w:t>
      </w:r>
      <w:r w:rsidR="00337FDE" w:rsidRPr="00EF27D2">
        <w:rPr>
          <w:sz w:val="24"/>
          <w:szCs w:val="24"/>
        </w:rPr>
        <w:t>published</w:t>
      </w:r>
      <w:r w:rsidRPr="00EF27D2">
        <w:rPr>
          <w:sz w:val="24"/>
          <w:szCs w:val="24"/>
        </w:rPr>
        <w:t xml:space="preserve"> average, an explanation of why.</w:t>
      </w:r>
    </w:p>
    <w:p w14:paraId="3209FD6D" w14:textId="00D5A062" w:rsidR="00261953" w:rsidRPr="00302C66" w:rsidRDefault="00261953" w:rsidP="00302C66">
      <w:pPr>
        <w:pStyle w:val="ListParagraph"/>
        <w:numPr>
          <w:ilvl w:val="0"/>
          <w:numId w:val="33"/>
        </w:numPr>
        <w:rPr>
          <w:sz w:val="24"/>
          <w:szCs w:val="24"/>
        </w:rPr>
      </w:pPr>
      <w:r w:rsidRPr="00EF27D2">
        <w:rPr>
          <w:sz w:val="24"/>
          <w:szCs w:val="24"/>
        </w:rPr>
        <w:t>Its choice of comparator college/organisations</w:t>
      </w:r>
    </w:p>
    <w:p w14:paraId="05C2840C" w14:textId="2E02ED01" w:rsidR="00261953" w:rsidRPr="00302C66" w:rsidRDefault="00261953" w:rsidP="00302C66">
      <w:pPr>
        <w:pStyle w:val="ListParagraph"/>
        <w:numPr>
          <w:ilvl w:val="0"/>
          <w:numId w:val="33"/>
        </w:numPr>
        <w:rPr>
          <w:sz w:val="24"/>
          <w:szCs w:val="24"/>
        </w:rPr>
      </w:pPr>
      <w:r w:rsidRPr="00EF27D2">
        <w:rPr>
          <w:sz w:val="24"/>
          <w:szCs w:val="24"/>
        </w:rPr>
        <w:t>An explanation of any significant changes</w:t>
      </w:r>
    </w:p>
    <w:p w14:paraId="73B0E708" w14:textId="77777777" w:rsidR="00261953" w:rsidRDefault="00261953" w:rsidP="008920E6">
      <w:pPr>
        <w:rPr>
          <w:rFonts w:ascii="Century Gothic" w:hAnsi="Century Gothic"/>
        </w:rPr>
      </w:pPr>
    </w:p>
    <w:p w14:paraId="2B7ABF4B" w14:textId="77777777" w:rsidR="009C6D76" w:rsidRPr="00343E70" w:rsidRDefault="009C6D76" w:rsidP="00343E70">
      <w:pPr>
        <w:rPr>
          <w:rFonts w:ascii="Century Gothic" w:hAnsi="Century Gothic"/>
        </w:rPr>
      </w:pPr>
    </w:p>
    <w:sectPr w:rsidR="009C6D76" w:rsidRPr="00343E70" w:rsidSect="005173CA">
      <w:headerReference w:type="default" r:id="rId8"/>
      <w:footerReference w:type="default" r:id="rId9"/>
      <w:pgSz w:w="11906" w:h="16838"/>
      <w:pgMar w:top="1440" w:right="849" w:bottom="1135"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779EA6" w14:textId="77777777" w:rsidR="00FF50A6" w:rsidRDefault="00FF50A6" w:rsidP="00532C48">
      <w:pPr>
        <w:spacing w:after="0" w:line="240" w:lineRule="auto"/>
      </w:pPr>
      <w:r>
        <w:separator/>
      </w:r>
    </w:p>
  </w:endnote>
  <w:endnote w:type="continuationSeparator" w:id="0">
    <w:p w14:paraId="05C27147" w14:textId="77777777" w:rsidR="00FF50A6" w:rsidRDefault="00FF50A6" w:rsidP="00532C48">
      <w:pPr>
        <w:spacing w:after="0" w:line="240" w:lineRule="auto"/>
      </w:pPr>
      <w:r>
        <w:continuationSeparator/>
      </w:r>
    </w:p>
  </w:endnote>
  <w:endnote w:type="continuationNotice" w:id="1">
    <w:p w14:paraId="775DC158" w14:textId="77777777" w:rsidR="00E469E3" w:rsidRDefault="00E469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w:altName w:val="Book Antiqua"/>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28566C" w14:textId="02737785" w:rsidR="00532C48" w:rsidRPr="00F71EF2" w:rsidRDefault="00532C48" w:rsidP="00532C48">
    <w:pPr>
      <w:pStyle w:val="Footer"/>
      <w:jc w:val="right"/>
      <w:rPr>
        <w:rFonts w:ascii="Century Gothic" w:hAnsi="Century Gothic"/>
        <w:sz w:val="16"/>
        <w:szCs w:val="16"/>
      </w:rPr>
    </w:pPr>
    <w:r w:rsidRPr="00F71EF2">
      <w:rPr>
        <w:rFonts w:ascii="Century Gothic" w:hAnsi="Century Gothic"/>
        <w:sz w:val="16"/>
        <w:szCs w:val="16"/>
      </w:rPr>
      <w:t xml:space="preserve">Page </w:t>
    </w:r>
    <w:r w:rsidRPr="00F71EF2">
      <w:rPr>
        <w:rFonts w:ascii="Century Gothic" w:hAnsi="Century Gothic"/>
        <w:bCs/>
        <w:color w:val="2B579A"/>
        <w:sz w:val="16"/>
        <w:szCs w:val="16"/>
        <w:shd w:val="clear" w:color="auto" w:fill="E6E6E6"/>
      </w:rPr>
      <w:fldChar w:fldCharType="begin"/>
    </w:r>
    <w:r w:rsidRPr="00F71EF2">
      <w:rPr>
        <w:rFonts w:ascii="Century Gothic" w:hAnsi="Century Gothic"/>
        <w:bCs/>
        <w:sz w:val="16"/>
        <w:szCs w:val="16"/>
      </w:rPr>
      <w:instrText xml:space="preserve"> PAGE  \* Arabic  \* MERGEFORMAT </w:instrText>
    </w:r>
    <w:r w:rsidRPr="00F71EF2">
      <w:rPr>
        <w:rFonts w:ascii="Century Gothic" w:hAnsi="Century Gothic"/>
        <w:bCs/>
        <w:color w:val="2B579A"/>
        <w:sz w:val="16"/>
        <w:szCs w:val="16"/>
        <w:shd w:val="clear" w:color="auto" w:fill="E6E6E6"/>
      </w:rPr>
      <w:fldChar w:fldCharType="separate"/>
    </w:r>
    <w:r w:rsidR="00EF27D2">
      <w:rPr>
        <w:rFonts w:ascii="Century Gothic" w:hAnsi="Century Gothic"/>
        <w:bCs/>
        <w:noProof/>
        <w:sz w:val="16"/>
        <w:szCs w:val="16"/>
      </w:rPr>
      <w:t>2</w:t>
    </w:r>
    <w:r w:rsidRPr="00F71EF2">
      <w:rPr>
        <w:rFonts w:ascii="Century Gothic" w:hAnsi="Century Gothic"/>
        <w:bCs/>
        <w:color w:val="2B579A"/>
        <w:sz w:val="16"/>
        <w:szCs w:val="16"/>
        <w:shd w:val="clear" w:color="auto" w:fill="E6E6E6"/>
      </w:rPr>
      <w:fldChar w:fldCharType="end"/>
    </w:r>
    <w:r w:rsidRPr="00F71EF2">
      <w:rPr>
        <w:rFonts w:ascii="Century Gothic" w:hAnsi="Century Gothic"/>
        <w:sz w:val="16"/>
        <w:szCs w:val="16"/>
      </w:rPr>
      <w:t xml:space="preserve"> of </w:t>
    </w:r>
    <w:r w:rsidRPr="00F71EF2">
      <w:rPr>
        <w:rFonts w:ascii="Century Gothic" w:hAnsi="Century Gothic"/>
        <w:bCs/>
        <w:color w:val="2B579A"/>
        <w:sz w:val="16"/>
        <w:szCs w:val="16"/>
        <w:shd w:val="clear" w:color="auto" w:fill="E6E6E6"/>
      </w:rPr>
      <w:fldChar w:fldCharType="begin"/>
    </w:r>
    <w:r w:rsidRPr="00F71EF2">
      <w:rPr>
        <w:rFonts w:ascii="Century Gothic" w:hAnsi="Century Gothic"/>
        <w:bCs/>
        <w:sz w:val="16"/>
        <w:szCs w:val="16"/>
      </w:rPr>
      <w:instrText xml:space="preserve"> NUMPAGES  \* Arabic  \* MERGEFORMAT </w:instrText>
    </w:r>
    <w:r w:rsidRPr="00F71EF2">
      <w:rPr>
        <w:rFonts w:ascii="Century Gothic" w:hAnsi="Century Gothic"/>
        <w:bCs/>
        <w:color w:val="2B579A"/>
        <w:sz w:val="16"/>
        <w:szCs w:val="16"/>
        <w:shd w:val="clear" w:color="auto" w:fill="E6E6E6"/>
      </w:rPr>
      <w:fldChar w:fldCharType="separate"/>
    </w:r>
    <w:r w:rsidR="00EF27D2">
      <w:rPr>
        <w:rFonts w:ascii="Century Gothic" w:hAnsi="Century Gothic"/>
        <w:bCs/>
        <w:noProof/>
        <w:sz w:val="16"/>
        <w:szCs w:val="16"/>
      </w:rPr>
      <w:t>3</w:t>
    </w:r>
    <w:r w:rsidRPr="00F71EF2">
      <w:rPr>
        <w:rFonts w:ascii="Century Gothic" w:hAnsi="Century Gothic"/>
        <w:bCs/>
        <w:color w:val="2B579A"/>
        <w:sz w:val="16"/>
        <w:szCs w:val="16"/>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F0959C" w14:textId="77777777" w:rsidR="00FF50A6" w:rsidRDefault="00FF50A6" w:rsidP="00532C48">
      <w:pPr>
        <w:spacing w:after="0" w:line="240" w:lineRule="auto"/>
      </w:pPr>
      <w:r>
        <w:separator/>
      </w:r>
    </w:p>
  </w:footnote>
  <w:footnote w:type="continuationSeparator" w:id="0">
    <w:p w14:paraId="54ACE8BE" w14:textId="77777777" w:rsidR="00FF50A6" w:rsidRDefault="00FF50A6" w:rsidP="00532C48">
      <w:pPr>
        <w:spacing w:after="0" w:line="240" w:lineRule="auto"/>
      </w:pPr>
      <w:r>
        <w:continuationSeparator/>
      </w:r>
    </w:p>
  </w:footnote>
  <w:footnote w:type="continuationNotice" w:id="1">
    <w:p w14:paraId="172D2D70" w14:textId="77777777" w:rsidR="00E469E3" w:rsidRDefault="00E469E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1F0D6B" w14:textId="11FBF287" w:rsidR="00532C48" w:rsidRPr="00532C48" w:rsidRDefault="00F71EF2" w:rsidP="00F71EF2">
    <w:pPr>
      <w:pStyle w:val="Header"/>
      <w:tabs>
        <w:tab w:val="clear" w:pos="9026"/>
        <w:tab w:val="right" w:pos="9617"/>
      </w:tabs>
      <w:rPr>
        <w:rFonts w:ascii="Century Gothic" w:hAnsi="Century Gothic"/>
      </w:rPr>
    </w:pPr>
    <w:r>
      <w:rPr>
        <w:rFonts w:ascii="Century Gothic" w:hAnsi="Century Gothic"/>
      </w:rPr>
      <w:tab/>
    </w:r>
    <w:r>
      <w:rPr>
        <w:rFonts w:ascii="Century Gothic" w:hAnsi="Century Gothic"/>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A1271"/>
    <w:multiLevelType w:val="hybridMultilevel"/>
    <w:tmpl w:val="56185D48"/>
    <w:lvl w:ilvl="0" w:tplc="10B4377C">
      <w:start w:val="1"/>
      <w:numFmt w:val="lowerLetter"/>
      <w:lvlText w:val="%1)"/>
      <w:lvlJc w:val="left"/>
      <w:pPr>
        <w:ind w:left="127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EC96BC5A">
      <w:start w:val="1"/>
      <w:numFmt w:val="lowerLetter"/>
      <w:lvlText w:val="%2"/>
      <w:lvlJc w:val="left"/>
      <w:pPr>
        <w:ind w:left="1646"/>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4F189E40">
      <w:start w:val="1"/>
      <w:numFmt w:val="lowerRoman"/>
      <w:lvlText w:val="%3"/>
      <w:lvlJc w:val="left"/>
      <w:pPr>
        <w:ind w:left="2366"/>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7BB8E82A">
      <w:start w:val="1"/>
      <w:numFmt w:val="decimal"/>
      <w:lvlText w:val="%4"/>
      <w:lvlJc w:val="left"/>
      <w:pPr>
        <w:ind w:left="3086"/>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4B4C0822">
      <w:start w:val="1"/>
      <w:numFmt w:val="lowerLetter"/>
      <w:lvlText w:val="%5"/>
      <w:lvlJc w:val="left"/>
      <w:pPr>
        <w:ind w:left="3806"/>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39B2BDFE">
      <w:start w:val="1"/>
      <w:numFmt w:val="lowerRoman"/>
      <w:lvlText w:val="%6"/>
      <w:lvlJc w:val="left"/>
      <w:pPr>
        <w:ind w:left="4526"/>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2FCE4432">
      <w:start w:val="1"/>
      <w:numFmt w:val="decimal"/>
      <w:lvlText w:val="%7"/>
      <w:lvlJc w:val="left"/>
      <w:pPr>
        <w:ind w:left="5246"/>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A71208A0">
      <w:start w:val="1"/>
      <w:numFmt w:val="lowerLetter"/>
      <w:lvlText w:val="%8"/>
      <w:lvlJc w:val="left"/>
      <w:pPr>
        <w:ind w:left="5966"/>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44B65B0C">
      <w:start w:val="1"/>
      <w:numFmt w:val="lowerRoman"/>
      <w:lvlText w:val="%9"/>
      <w:lvlJc w:val="left"/>
      <w:pPr>
        <w:ind w:left="6686"/>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0AF16199"/>
    <w:multiLevelType w:val="hybridMultilevel"/>
    <w:tmpl w:val="F856B00A"/>
    <w:lvl w:ilvl="0" w:tplc="08090017">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BE16D95"/>
    <w:multiLevelType w:val="hybridMultilevel"/>
    <w:tmpl w:val="6A90B60C"/>
    <w:lvl w:ilvl="0" w:tplc="5B80C824">
      <w:start w:val="1"/>
      <w:numFmt w:val="decimal"/>
      <w:lvlText w:val="%1."/>
      <w:lvlJc w:val="left"/>
      <w:pPr>
        <w:ind w:left="7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8F16A7B8">
      <w:start w:val="1"/>
      <w:numFmt w:val="lowerLetter"/>
      <w:lvlText w:val="%2"/>
      <w:lvlJc w:val="left"/>
      <w:pPr>
        <w:ind w:left="10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C6AE74D6">
      <w:start w:val="1"/>
      <w:numFmt w:val="lowerRoman"/>
      <w:lvlText w:val="%3"/>
      <w:lvlJc w:val="left"/>
      <w:pPr>
        <w:ind w:left="18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BD6C4CD2">
      <w:start w:val="1"/>
      <w:numFmt w:val="decimal"/>
      <w:lvlText w:val="%4"/>
      <w:lvlJc w:val="left"/>
      <w:pPr>
        <w:ind w:left="25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A972FA76">
      <w:start w:val="1"/>
      <w:numFmt w:val="lowerLetter"/>
      <w:lvlText w:val="%5"/>
      <w:lvlJc w:val="left"/>
      <w:pPr>
        <w:ind w:left="32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218E9ADC">
      <w:start w:val="1"/>
      <w:numFmt w:val="lowerRoman"/>
      <w:lvlText w:val="%6"/>
      <w:lvlJc w:val="left"/>
      <w:pPr>
        <w:ind w:left="39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93DCD6DE">
      <w:start w:val="1"/>
      <w:numFmt w:val="decimal"/>
      <w:lvlText w:val="%7"/>
      <w:lvlJc w:val="left"/>
      <w:pPr>
        <w:ind w:left="46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7FA41924">
      <w:start w:val="1"/>
      <w:numFmt w:val="lowerLetter"/>
      <w:lvlText w:val="%8"/>
      <w:lvlJc w:val="left"/>
      <w:pPr>
        <w:ind w:left="54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EE04BEF2">
      <w:start w:val="1"/>
      <w:numFmt w:val="lowerRoman"/>
      <w:lvlText w:val="%9"/>
      <w:lvlJc w:val="left"/>
      <w:pPr>
        <w:ind w:left="61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15447694"/>
    <w:multiLevelType w:val="hybridMultilevel"/>
    <w:tmpl w:val="BF4670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067E32"/>
    <w:multiLevelType w:val="hybridMultilevel"/>
    <w:tmpl w:val="1E2243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7550EB9"/>
    <w:multiLevelType w:val="hybridMultilevel"/>
    <w:tmpl w:val="10F867A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9BB16D6"/>
    <w:multiLevelType w:val="multilevel"/>
    <w:tmpl w:val="A134F830"/>
    <w:lvl w:ilvl="0">
      <w:start w:val="1"/>
      <w:numFmt w:val="decimal"/>
      <w:lvlText w:val="%1."/>
      <w:lvlJc w:val="left"/>
      <w:pPr>
        <w:ind w:left="720" w:hanging="360"/>
      </w:pPr>
      <w:rPr>
        <w:rFonts w:hint="default"/>
      </w:rPr>
    </w:lvl>
    <w:lvl w:ilvl="1">
      <w:start w:val="1"/>
      <w:numFmt w:val="lowerLetter"/>
      <w:lvlText w:val="%2)"/>
      <w:lvlJc w:val="left"/>
      <w:pPr>
        <w:ind w:left="1440" w:hanging="720"/>
      </w:pPr>
      <w:rPr>
        <w:rFonts w:hint="default"/>
        <w:b w:val="0"/>
        <w:sz w:val="22"/>
        <w:szCs w:val="22"/>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15:restartNumberingAfterBreak="0">
    <w:nsid w:val="2AC63296"/>
    <w:multiLevelType w:val="multilevel"/>
    <w:tmpl w:val="BF6414FC"/>
    <w:lvl w:ilvl="0">
      <w:start w:val="1"/>
      <w:numFmt w:val="decimal"/>
      <w:lvlText w:val="%1."/>
      <w:lvlJc w:val="left"/>
      <w:pPr>
        <w:ind w:left="720" w:hanging="360"/>
      </w:pPr>
      <w:rPr>
        <w:rFonts w:hint="default"/>
      </w:rPr>
    </w:lvl>
    <w:lvl w:ilvl="1">
      <w:start w:val="1"/>
      <w:numFmt w:val="decimal"/>
      <w:lvlText w:val="%2."/>
      <w:lvlJc w:val="left"/>
      <w:pPr>
        <w:ind w:left="1440" w:hanging="720"/>
      </w:pPr>
      <w:rPr>
        <w:rFonts w:hint="default"/>
        <w:b w:val="0"/>
        <w:sz w:val="22"/>
        <w:szCs w:val="22"/>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8" w15:restartNumberingAfterBreak="0">
    <w:nsid w:val="2C5C72C8"/>
    <w:multiLevelType w:val="hybridMultilevel"/>
    <w:tmpl w:val="B99AF6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283145B"/>
    <w:multiLevelType w:val="hybridMultilevel"/>
    <w:tmpl w:val="19123C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387711A"/>
    <w:multiLevelType w:val="multilevel"/>
    <w:tmpl w:val="C0B0AC36"/>
    <w:lvl w:ilvl="0">
      <w:start w:val="1"/>
      <w:numFmt w:val="decimal"/>
      <w:lvlText w:val="%1."/>
      <w:lvlJc w:val="left"/>
      <w:pPr>
        <w:ind w:left="720" w:hanging="360"/>
      </w:pPr>
      <w:rPr>
        <w:rFonts w:hint="default"/>
      </w:rPr>
    </w:lvl>
    <w:lvl w:ilvl="1">
      <w:start w:val="1"/>
      <w:numFmt w:val="decimal"/>
      <w:lvlText w:val="%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1" w15:restartNumberingAfterBreak="0">
    <w:nsid w:val="38E155DC"/>
    <w:multiLevelType w:val="multilevel"/>
    <w:tmpl w:val="40346544"/>
    <w:lvl w:ilvl="0">
      <w:start w:val="1"/>
      <w:numFmt w:val="decimal"/>
      <w:lvlText w:val="%1."/>
      <w:lvlJc w:val="left"/>
      <w:pPr>
        <w:ind w:left="720" w:hanging="360"/>
      </w:pPr>
      <w:rPr>
        <w:rFonts w:hint="default"/>
      </w:rPr>
    </w:lvl>
    <w:lvl w:ilvl="1">
      <w:start w:val="1"/>
      <w:numFmt w:val="lowerLetter"/>
      <w:lvlText w:val="%2)"/>
      <w:lvlJc w:val="left"/>
      <w:pPr>
        <w:ind w:left="1440" w:hanging="720"/>
      </w:pPr>
      <w:rPr>
        <w:rFonts w:hint="default"/>
        <w:b w:val="0"/>
        <w:sz w:val="22"/>
        <w:szCs w:val="22"/>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 w15:restartNumberingAfterBreak="0">
    <w:nsid w:val="3A365C72"/>
    <w:multiLevelType w:val="hybridMultilevel"/>
    <w:tmpl w:val="9F1696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A394E46"/>
    <w:multiLevelType w:val="multilevel"/>
    <w:tmpl w:val="1ADA933E"/>
    <w:lvl w:ilvl="0">
      <w:start w:val="1"/>
      <w:numFmt w:val="decimal"/>
      <w:lvlText w:val="%1."/>
      <w:lvlJc w:val="left"/>
      <w:pPr>
        <w:ind w:left="720" w:hanging="360"/>
      </w:pPr>
      <w:rPr>
        <w:rFonts w:hint="default"/>
      </w:rPr>
    </w:lvl>
    <w:lvl w:ilvl="1">
      <w:start w:val="1"/>
      <w:numFmt w:val="lowerLetter"/>
      <w:lvlText w:val="%2)"/>
      <w:lvlJc w:val="left"/>
      <w:pPr>
        <w:ind w:left="1440" w:hanging="720"/>
      </w:pPr>
      <w:rPr>
        <w:rFonts w:hint="default"/>
        <w:b w:val="0"/>
        <w:sz w:val="22"/>
        <w:szCs w:val="22"/>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15:restartNumberingAfterBreak="0">
    <w:nsid w:val="3C3C1794"/>
    <w:multiLevelType w:val="hybridMultilevel"/>
    <w:tmpl w:val="5972C8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F222A12"/>
    <w:multiLevelType w:val="hybridMultilevel"/>
    <w:tmpl w:val="42807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BB1EAD"/>
    <w:multiLevelType w:val="hybridMultilevel"/>
    <w:tmpl w:val="FE06B7F6"/>
    <w:lvl w:ilvl="0" w:tplc="C6147966">
      <w:start w:val="1"/>
      <w:numFmt w:val="lowerLetter"/>
      <w:lvlText w:val="%1)"/>
      <w:lvlJc w:val="left"/>
      <w:pPr>
        <w:ind w:left="1219"/>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D7546216">
      <w:start w:val="1"/>
      <w:numFmt w:val="lowerLetter"/>
      <w:lvlText w:val="%2"/>
      <w:lvlJc w:val="left"/>
      <w:pPr>
        <w:ind w:left="178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6E6EDC80">
      <w:start w:val="1"/>
      <w:numFmt w:val="lowerRoman"/>
      <w:lvlText w:val="%3"/>
      <w:lvlJc w:val="left"/>
      <w:pPr>
        <w:ind w:left="250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D09A2510">
      <w:start w:val="1"/>
      <w:numFmt w:val="decimal"/>
      <w:lvlText w:val="%4"/>
      <w:lvlJc w:val="left"/>
      <w:pPr>
        <w:ind w:left="322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30D82E94">
      <w:start w:val="1"/>
      <w:numFmt w:val="lowerLetter"/>
      <w:lvlText w:val="%5"/>
      <w:lvlJc w:val="left"/>
      <w:pPr>
        <w:ind w:left="394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28780EA8">
      <w:start w:val="1"/>
      <w:numFmt w:val="lowerRoman"/>
      <w:lvlText w:val="%6"/>
      <w:lvlJc w:val="left"/>
      <w:pPr>
        <w:ind w:left="466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C158D2CC">
      <w:start w:val="1"/>
      <w:numFmt w:val="decimal"/>
      <w:lvlText w:val="%7"/>
      <w:lvlJc w:val="left"/>
      <w:pPr>
        <w:ind w:left="538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7772B0F6">
      <w:start w:val="1"/>
      <w:numFmt w:val="lowerLetter"/>
      <w:lvlText w:val="%8"/>
      <w:lvlJc w:val="left"/>
      <w:pPr>
        <w:ind w:left="610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4394E7FA">
      <w:start w:val="1"/>
      <w:numFmt w:val="lowerRoman"/>
      <w:lvlText w:val="%9"/>
      <w:lvlJc w:val="left"/>
      <w:pPr>
        <w:ind w:left="682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17" w15:restartNumberingAfterBreak="0">
    <w:nsid w:val="414A77D8"/>
    <w:multiLevelType w:val="hybridMultilevel"/>
    <w:tmpl w:val="D26C2D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5A46ECF"/>
    <w:multiLevelType w:val="multilevel"/>
    <w:tmpl w:val="85081422"/>
    <w:lvl w:ilvl="0">
      <w:start w:val="1"/>
      <w:numFmt w:val="decimal"/>
      <w:lvlText w:val="%1."/>
      <w:lvlJc w:val="left"/>
      <w:pPr>
        <w:ind w:left="720" w:hanging="360"/>
      </w:pPr>
      <w:rPr>
        <w:rFonts w:hint="default"/>
      </w:rPr>
    </w:lvl>
    <w:lvl w:ilvl="1">
      <w:start w:val="1"/>
      <w:numFmt w:val="decimal"/>
      <w:lvlText w:val="%2."/>
      <w:lvlJc w:val="left"/>
      <w:pPr>
        <w:ind w:left="1440" w:hanging="720"/>
      </w:pPr>
      <w:rPr>
        <w:rFonts w:hint="default"/>
        <w:b w:val="0"/>
        <w:sz w:val="22"/>
        <w:szCs w:val="22"/>
      </w:rPr>
    </w:lvl>
    <w:lvl w:ilvl="2">
      <w:start w:val="1"/>
      <w:numFmt w:val="lowerLetter"/>
      <w:lvlText w:val="%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9" w15:restartNumberingAfterBreak="0">
    <w:nsid w:val="51197269"/>
    <w:multiLevelType w:val="multilevel"/>
    <w:tmpl w:val="C0B0AC36"/>
    <w:lvl w:ilvl="0">
      <w:start w:val="1"/>
      <w:numFmt w:val="decimal"/>
      <w:lvlText w:val="%1."/>
      <w:lvlJc w:val="left"/>
      <w:pPr>
        <w:ind w:left="720" w:hanging="360"/>
      </w:pPr>
      <w:rPr>
        <w:rFonts w:hint="default"/>
      </w:rPr>
    </w:lvl>
    <w:lvl w:ilvl="1">
      <w:start w:val="1"/>
      <w:numFmt w:val="decimal"/>
      <w:lvlText w:val="%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0" w15:restartNumberingAfterBreak="0">
    <w:nsid w:val="51957F5B"/>
    <w:multiLevelType w:val="hybridMultilevel"/>
    <w:tmpl w:val="0F12ABE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52BE0BB4"/>
    <w:multiLevelType w:val="hybridMultilevel"/>
    <w:tmpl w:val="7ADEFF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710652"/>
    <w:multiLevelType w:val="multilevel"/>
    <w:tmpl w:val="C0B0AC36"/>
    <w:lvl w:ilvl="0">
      <w:start w:val="1"/>
      <w:numFmt w:val="decimal"/>
      <w:lvlText w:val="%1."/>
      <w:lvlJc w:val="left"/>
      <w:pPr>
        <w:ind w:left="720" w:hanging="360"/>
      </w:pPr>
      <w:rPr>
        <w:rFonts w:hint="default"/>
      </w:rPr>
    </w:lvl>
    <w:lvl w:ilvl="1">
      <w:start w:val="1"/>
      <w:numFmt w:val="decimal"/>
      <w:lvlText w:val="%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3" w15:restartNumberingAfterBreak="0">
    <w:nsid w:val="57B15871"/>
    <w:multiLevelType w:val="hybridMultilevel"/>
    <w:tmpl w:val="474A4F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A3735B5"/>
    <w:multiLevelType w:val="hybridMultilevel"/>
    <w:tmpl w:val="2056020E"/>
    <w:lvl w:ilvl="0" w:tplc="08090001">
      <w:start w:val="1"/>
      <w:numFmt w:val="bullet"/>
      <w:lvlText w:val=""/>
      <w:lvlJc w:val="left"/>
      <w:pPr>
        <w:ind w:left="713" w:hanging="360"/>
      </w:pPr>
      <w:rPr>
        <w:rFonts w:ascii="Symbol" w:hAnsi="Symbol" w:hint="default"/>
      </w:rPr>
    </w:lvl>
    <w:lvl w:ilvl="1" w:tplc="08090003" w:tentative="1">
      <w:start w:val="1"/>
      <w:numFmt w:val="bullet"/>
      <w:lvlText w:val="o"/>
      <w:lvlJc w:val="left"/>
      <w:pPr>
        <w:ind w:left="1433" w:hanging="360"/>
      </w:pPr>
      <w:rPr>
        <w:rFonts w:ascii="Courier New" w:hAnsi="Courier New" w:cs="Courier New" w:hint="default"/>
      </w:rPr>
    </w:lvl>
    <w:lvl w:ilvl="2" w:tplc="08090005" w:tentative="1">
      <w:start w:val="1"/>
      <w:numFmt w:val="bullet"/>
      <w:lvlText w:val=""/>
      <w:lvlJc w:val="left"/>
      <w:pPr>
        <w:ind w:left="2153" w:hanging="360"/>
      </w:pPr>
      <w:rPr>
        <w:rFonts w:ascii="Wingdings" w:hAnsi="Wingdings" w:hint="default"/>
      </w:rPr>
    </w:lvl>
    <w:lvl w:ilvl="3" w:tplc="08090001" w:tentative="1">
      <w:start w:val="1"/>
      <w:numFmt w:val="bullet"/>
      <w:lvlText w:val=""/>
      <w:lvlJc w:val="left"/>
      <w:pPr>
        <w:ind w:left="2873" w:hanging="360"/>
      </w:pPr>
      <w:rPr>
        <w:rFonts w:ascii="Symbol" w:hAnsi="Symbol" w:hint="default"/>
      </w:rPr>
    </w:lvl>
    <w:lvl w:ilvl="4" w:tplc="08090003" w:tentative="1">
      <w:start w:val="1"/>
      <w:numFmt w:val="bullet"/>
      <w:lvlText w:val="o"/>
      <w:lvlJc w:val="left"/>
      <w:pPr>
        <w:ind w:left="3593" w:hanging="360"/>
      </w:pPr>
      <w:rPr>
        <w:rFonts w:ascii="Courier New" w:hAnsi="Courier New" w:cs="Courier New" w:hint="default"/>
      </w:rPr>
    </w:lvl>
    <w:lvl w:ilvl="5" w:tplc="08090005" w:tentative="1">
      <w:start w:val="1"/>
      <w:numFmt w:val="bullet"/>
      <w:lvlText w:val=""/>
      <w:lvlJc w:val="left"/>
      <w:pPr>
        <w:ind w:left="4313" w:hanging="360"/>
      </w:pPr>
      <w:rPr>
        <w:rFonts w:ascii="Wingdings" w:hAnsi="Wingdings" w:hint="default"/>
      </w:rPr>
    </w:lvl>
    <w:lvl w:ilvl="6" w:tplc="08090001" w:tentative="1">
      <w:start w:val="1"/>
      <w:numFmt w:val="bullet"/>
      <w:lvlText w:val=""/>
      <w:lvlJc w:val="left"/>
      <w:pPr>
        <w:ind w:left="5033" w:hanging="360"/>
      </w:pPr>
      <w:rPr>
        <w:rFonts w:ascii="Symbol" w:hAnsi="Symbol" w:hint="default"/>
      </w:rPr>
    </w:lvl>
    <w:lvl w:ilvl="7" w:tplc="08090003" w:tentative="1">
      <w:start w:val="1"/>
      <w:numFmt w:val="bullet"/>
      <w:lvlText w:val="o"/>
      <w:lvlJc w:val="left"/>
      <w:pPr>
        <w:ind w:left="5753" w:hanging="360"/>
      </w:pPr>
      <w:rPr>
        <w:rFonts w:ascii="Courier New" w:hAnsi="Courier New" w:cs="Courier New" w:hint="default"/>
      </w:rPr>
    </w:lvl>
    <w:lvl w:ilvl="8" w:tplc="08090005" w:tentative="1">
      <w:start w:val="1"/>
      <w:numFmt w:val="bullet"/>
      <w:lvlText w:val=""/>
      <w:lvlJc w:val="left"/>
      <w:pPr>
        <w:ind w:left="6473" w:hanging="360"/>
      </w:pPr>
      <w:rPr>
        <w:rFonts w:ascii="Wingdings" w:hAnsi="Wingdings" w:hint="default"/>
      </w:rPr>
    </w:lvl>
  </w:abstractNum>
  <w:abstractNum w:abstractNumId="25" w15:restartNumberingAfterBreak="0">
    <w:nsid w:val="5A5D5F09"/>
    <w:multiLevelType w:val="hybridMultilevel"/>
    <w:tmpl w:val="3D067FA0"/>
    <w:lvl w:ilvl="0" w:tplc="2EDE740C">
      <w:start w:val="1"/>
      <w:numFmt w:val="bullet"/>
      <w:lvlText w:val=""/>
      <w:lvlJc w:val="left"/>
      <w:pPr>
        <w:ind w:left="1420" w:hanging="360"/>
      </w:pPr>
      <w:rPr>
        <w:rFonts w:ascii="Symbol" w:hAnsi="Symbol" w:hint="default"/>
        <w:color w:val="000000"/>
      </w:rPr>
    </w:lvl>
    <w:lvl w:ilvl="1" w:tplc="08090003" w:tentative="1">
      <w:start w:val="1"/>
      <w:numFmt w:val="bullet"/>
      <w:lvlText w:val="o"/>
      <w:lvlJc w:val="left"/>
      <w:pPr>
        <w:ind w:left="2140" w:hanging="360"/>
      </w:pPr>
      <w:rPr>
        <w:rFonts w:ascii="Courier New" w:hAnsi="Courier New" w:cs="Courier New" w:hint="default"/>
      </w:rPr>
    </w:lvl>
    <w:lvl w:ilvl="2" w:tplc="08090005" w:tentative="1">
      <w:start w:val="1"/>
      <w:numFmt w:val="bullet"/>
      <w:lvlText w:val=""/>
      <w:lvlJc w:val="left"/>
      <w:pPr>
        <w:ind w:left="2860" w:hanging="360"/>
      </w:pPr>
      <w:rPr>
        <w:rFonts w:ascii="Wingdings" w:hAnsi="Wingdings" w:hint="default"/>
      </w:rPr>
    </w:lvl>
    <w:lvl w:ilvl="3" w:tplc="08090001" w:tentative="1">
      <w:start w:val="1"/>
      <w:numFmt w:val="bullet"/>
      <w:lvlText w:val=""/>
      <w:lvlJc w:val="left"/>
      <w:pPr>
        <w:ind w:left="3580" w:hanging="360"/>
      </w:pPr>
      <w:rPr>
        <w:rFonts w:ascii="Symbol" w:hAnsi="Symbol" w:hint="default"/>
      </w:rPr>
    </w:lvl>
    <w:lvl w:ilvl="4" w:tplc="08090003" w:tentative="1">
      <w:start w:val="1"/>
      <w:numFmt w:val="bullet"/>
      <w:lvlText w:val="o"/>
      <w:lvlJc w:val="left"/>
      <w:pPr>
        <w:ind w:left="4300" w:hanging="360"/>
      </w:pPr>
      <w:rPr>
        <w:rFonts w:ascii="Courier New" w:hAnsi="Courier New" w:cs="Courier New" w:hint="default"/>
      </w:rPr>
    </w:lvl>
    <w:lvl w:ilvl="5" w:tplc="08090005" w:tentative="1">
      <w:start w:val="1"/>
      <w:numFmt w:val="bullet"/>
      <w:lvlText w:val=""/>
      <w:lvlJc w:val="left"/>
      <w:pPr>
        <w:ind w:left="5020" w:hanging="360"/>
      </w:pPr>
      <w:rPr>
        <w:rFonts w:ascii="Wingdings" w:hAnsi="Wingdings" w:hint="default"/>
      </w:rPr>
    </w:lvl>
    <w:lvl w:ilvl="6" w:tplc="08090001" w:tentative="1">
      <w:start w:val="1"/>
      <w:numFmt w:val="bullet"/>
      <w:lvlText w:val=""/>
      <w:lvlJc w:val="left"/>
      <w:pPr>
        <w:ind w:left="5740" w:hanging="360"/>
      </w:pPr>
      <w:rPr>
        <w:rFonts w:ascii="Symbol" w:hAnsi="Symbol" w:hint="default"/>
      </w:rPr>
    </w:lvl>
    <w:lvl w:ilvl="7" w:tplc="08090003" w:tentative="1">
      <w:start w:val="1"/>
      <w:numFmt w:val="bullet"/>
      <w:lvlText w:val="o"/>
      <w:lvlJc w:val="left"/>
      <w:pPr>
        <w:ind w:left="6460" w:hanging="360"/>
      </w:pPr>
      <w:rPr>
        <w:rFonts w:ascii="Courier New" w:hAnsi="Courier New" w:cs="Courier New" w:hint="default"/>
      </w:rPr>
    </w:lvl>
    <w:lvl w:ilvl="8" w:tplc="08090005" w:tentative="1">
      <w:start w:val="1"/>
      <w:numFmt w:val="bullet"/>
      <w:lvlText w:val=""/>
      <w:lvlJc w:val="left"/>
      <w:pPr>
        <w:ind w:left="7180" w:hanging="360"/>
      </w:pPr>
      <w:rPr>
        <w:rFonts w:ascii="Wingdings" w:hAnsi="Wingdings" w:hint="default"/>
      </w:rPr>
    </w:lvl>
  </w:abstractNum>
  <w:abstractNum w:abstractNumId="26" w15:restartNumberingAfterBreak="0">
    <w:nsid w:val="5A900C6A"/>
    <w:multiLevelType w:val="hybridMultilevel"/>
    <w:tmpl w:val="C96490F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F451C11"/>
    <w:multiLevelType w:val="multilevel"/>
    <w:tmpl w:val="112AD622"/>
    <w:lvl w:ilvl="0">
      <w:start w:val="1"/>
      <w:numFmt w:val="lowerLetter"/>
      <w:lvlText w:val="%1)"/>
      <w:lvlJc w:val="left"/>
      <w:pPr>
        <w:ind w:left="720" w:hanging="360"/>
      </w:pPr>
      <w:rPr>
        <w:rFonts w:hint="default"/>
      </w:rPr>
    </w:lvl>
    <w:lvl w:ilvl="1">
      <w:start w:val="1"/>
      <w:numFmt w:val="decimal"/>
      <w:lvlText w:val="%2."/>
      <w:lvlJc w:val="left"/>
      <w:pPr>
        <w:ind w:left="1440" w:hanging="720"/>
      </w:pPr>
      <w:rPr>
        <w:rFonts w:hint="default"/>
        <w:b w:val="0"/>
        <w:sz w:val="22"/>
        <w:szCs w:val="22"/>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8" w15:restartNumberingAfterBreak="0">
    <w:nsid w:val="63CA19A5"/>
    <w:multiLevelType w:val="hybridMultilevel"/>
    <w:tmpl w:val="F2D80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4014D02"/>
    <w:multiLevelType w:val="hybridMultilevel"/>
    <w:tmpl w:val="3C502472"/>
    <w:lvl w:ilvl="0" w:tplc="08090001">
      <w:start w:val="1"/>
      <w:numFmt w:val="bullet"/>
      <w:lvlText w:val=""/>
      <w:lvlJc w:val="left"/>
      <w:pPr>
        <w:ind w:left="2424" w:hanging="360"/>
      </w:pPr>
      <w:rPr>
        <w:rFonts w:ascii="Symbol" w:hAnsi="Symbol" w:hint="default"/>
      </w:rPr>
    </w:lvl>
    <w:lvl w:ilvl="1" w:tplc="08090003" w:tentative="1">
      <w:start w:val="1"/>
      <w:numFmt w:val="bullet"/>
      <w:lvlText w:val="o"/>
      <w:lvlJc w:val="left"/>
      <w:pPr>
        <w:ind w:left="3144" w:hanging="360"/>
      </w:pPr>
      <w:rPr>
        <w:rFonts w:ascii="Courier New" w:hAnsi="Courier New" w:cs="Courier New" w:hint="default"/>
      </w:rPr>
    </w:lvl>
    <w:lvl w:ilvl="2" w:tplc="08090005" w:tentative="1">
      <w:start w:val="1"/>
      <w:numFmt w:val="bullet"/>
      <w:lvlText w:val=""/>
      <w:lvlJc w:val="left"/>
      <w:pPr>
        <w:ind w:left="3864" w:hanging="360"/>
      </w:pPr>
      <w:rPr>
        <w:rFonts w:ascii="Wingdings" w:hAnsi="Wingdings" w:hint="default"/>
      </w:rPr>
    </w:lvl>
    <w:lvl w:ilvl="3" w:tplc="08090001" w:tentative="1">
      <w:start w:val="1"/>
      <w:numFmt w:val="bullet"/>
      <w:lvlText w:val=""/>
      <w:lvlJc w:val="left"/>
      <w:pPr>
        <w:ind w:left="4584" w:hanging="360"/>
      </w:pPr>
      <w:rPr>
        <w:rFonts w:ascii="Symbol" w:hAnsi="Symbol" w:hint="default"/>
      </w:rPr>
    </w:lvl>
    <w:lvl w:ilvl="4" w:tplc="08090003" w:tentative="1">
      <w:start w:val="1"/>
      <w:numFmt w:val="bullet"/>
      <w:lvlText w:val="o"/>
      <w:lvlJc w:val="left"/>
      <w:pPr>
        <w:ind w:left="5304" w:hanging="360"/>
      </w:pPr>
      <w:rPr>
        <w:rFonts w:ascii="Courier New" w:hAnsi="Courier New" w:cs="Courier New" w:hint="default"/>
      </w:rPr>
    </w:lvl>
    <w:lvl w:ilvl="5" w:tplc="08090005" w:tentative="1">
      <w:start w:val="1"/>
      <w:numFmt w:val="bullet"/>
      <w:lvlText w:val=""/>
      <w:lvlJc w:val="left"/>
      <w:pPr>
        <w:ind w:left="6024" w:hanging="360"/>
      </w:pPr>
      <w:rPr>
        <w:rFonts w:ascii="Wingdings" w:hAnsi="Wingdings" w:hint="default"/>
      </w:rPr>
    </w:lvl>
    <w:lvl w:ilvl="6" w:tplc="08090001" w:tentative="1">
      <w:start w:val="1"/>
      <w:numFmt w:val="bullet"/>
      <w:lvlText w:val=""/>
      <w:lvlJc w:val="left"/>
      <w:pPr>
        <w:ind w:left="6744" w:hanging="360"/>
      </w:pPr>
      <w:rPr>
        <w:rFonts w:ascii="Symbol" w:hAnsi="Symbol" w:hint="default"/>
      </w:rPr>
    </w:lvl>
    <w:lvl w:ilvl="7" w:tplc="08090003" w:tentative="1">
      <w:start w:val="1"/>
      <w:numFmt w:val="bullet"/>
      <w:lvlText w:val="o"/>
      <w:lvlJc w:val="left"/>
      <w:pPr>
        <w:ind w:left="7464" w:hanging="360"/>
      </w:pPr>
      <w:rPr>
        <w:rFonts w:ascii="Courier New" w:hAnsi="Courier New" w:cs="Courier New" w:hint="default"/>
      </w:rPr>
    </w:lvl>
    <w:lvl w:ilvl="8" w:tplc="08090005" w:tentative="1">
      <w:start w:val="1"/>
      <w:numFmt w:val="bullet"/>
      <w:lvlText w:val=""/>
      <w:lvlJc w:val="left"/>
      <w:pPr>
        <w:ind w:left="8184" w:hanging="360"/>
      </w:pPr>
      <w:rPr>
        <w:rFonts w:ascii="Wingdings" w:hAnsi="Wingdings" w:hint="default"/>
      </w:rPr>
    </w:lvl>
  </w:abstractNum>
  <w:abstractNum w:abstractNumId="30" w15:restartNumberingAfterBreak="0">
    <w:nsid w:val="701C3DCE"/>
    <w:multiLevelType w:val="hybridMultilevel"/>
    <w:tmpl w:val="9664ED50"/>
    <w:lvl w:ilvl="0" w:tplc="CE623884">
      <w:start w:val="1"/>
      <w:numFmt w:val="lowerRoman"/>
      <w:lvlText w:val="%1."/>
      <w:lvlJc w:val="left"/>
      <w:pPr>
        <w:ind w:left="152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891A3DA0">
      <w:start w:val="1"/>
      <w:numFmt w:val="lowerLetter"/>
      <w:lvlText w:val="%2"/>
      <w:lvlJc w:val="left"/>
      <w:pPr>
        <w:ind w:left="179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920AFF24">
      <w:start w:val="1"/>
      <w:numFmt w:val="lowerRoman"/>
      <w:lvlText w:val="%3"/>
      <w:lvlJc w:val="left"/>
      <w:pPr>
        <w:ind w:left="251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A78C1A72">
      <w:start w:val="1"/>
      <w:numFmt w:val="decimal"/>
      <w:lvlText w:val="%4"/>
      <w:lvlJc w:val="left"/>
      <w:pPr>
        <w:ind w:left="323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10A03870">
      <w:start w:val="1"/>
      <w:numFmt w:val="lowerLetter"/>
      <w:lvlText w:val="%5"/>
      <w:lvlJc w:val="left"/>
      <w:pPr>
        <w:ind w:left="395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70804DFE">
      <w:start w:val="1"/>
      <w:numFmt w:val="lowerRoman"/>
      <w:lvlText w:val="%6"/>
      <w:lvlJc w:val="left"/>
      <w:pPr>
        <w:ind w:left="467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87F65D40">
      <w:start w:val="1"/>
      <w:numFmt w:val="decimal"/>
      <w:lvlText w:val="%7"/>
      <w:lvlJc w:val="left"/>
      <w:pPr>
        <w:ind w:left="539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C49C28AA">
      <w:start w:val="1"/>
      <w:numFmt w:val="lowerLetter"/>
      <w:lvlText w:val="%8"/>
      <w:lvlJc w:val="left"/>
      <w:pPr>
        <w:ind w:left="611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4B9C082A">
      <w:start w:val="1"/>
      <w:numFmt w:val="lowerRoman"/>
      <w:lvlText w:val="%9"/>
      <w:lvlJc w:val="left"/>
      <w:pPr>
        <w:ind w:left="683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31" w15:restartNumberingAfterBreak="0">
    <w:nsid w:val="74510F10"/>
    <w:multiLevelType w:val="multilevel"/>
    <w:tmpl w:val="308259AC"/>
    <w:lvl w:ilvl="0">
      <w:start w:val="7"/>
      <w:numFmt w:val="decimal"/>
      <w:lvlText w:val="%1"/>
      <w:lvlJc w:val="left"/>
      <w:pPr>
        <w:ind w:left="360" w:hanging="360"/>
      </w:pPr>
      <w:rPr>
        <w:rFonts w:hint="default"/>
      </w:rPr>
    </w:lvl>
    <w:lvl w:ilvl="1">
      <w:start w:val="1"/>
      <w:numFmt w:val="decimal"/>
      <w:lvlText w:val="%1.%2"/>
      <w:lvlJc w:val="left"/>
      <w:pPr>
        <w:ind w:left="720" w:hanging="360"/>
      </w:pPr>
      <w:rPr>
        <w:rFonts w:ascii="Century Gothic" w:hAnsi="Century Gothic"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97605E3"/>
    <w:multiLevelType w:val="hybridMultilevel"/>
    <w:tmpl w:val="0E90F03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7"/>
  </w:num>
  <w:num w:numId="2">
    <w:abstractNumId w:val="14"/>
  </w:num>
  <w:num w:numId="3">
    <w:abstractNumId w:val="10"/>
  </w:num>
  <w:num w:numId="4">
    <w:abstractNumId w:val="19"/>
  </w:num>
  <w:num w:numId="5">
    <w:abstractNumId w:val="8"/>
  </w:num>
  <w:num w:numId="6">
    <w:abstractNumId w:val="12"/>
  </w:num>
  <w:num w:numId="7">
    <w:abstractNumId w:val="29"/>
  </w:num>
  <w:num w:numId="8">
    <w:abstractNumId w:val="24"/>
  </w:num>
  <w:num w:numId="9">
    <w:abstractNumId w:val="25"/>
  </w:num>
  <w:num w:numId="10">
    <w:abstractNumId w:val="21"/>
  </w:num>
  <w:num w:numId="11">
    <w:abstractNumId w:val="15"/>
  </w:num>
  <w:num w:numId="12">
    <w:abstractNumId w:val="9"/>
  </w:num>
  <w:num w:numId="13">
    <w:abstractNumId w:val="30"/>
  </w:num>
  <w:num w:numId="14">
    <w:abstractNumId w:val="4"/>
  </w:num>
  <w:num w:numId="15">
    <w:abstractNumId w:val="7"/>
  </w:num>
  <w:num w:numId="16">
    <w:abstractNumId w:val="31"/>
  </w:num>
  <w:num w:numId="17">
    <w:abstractNumId w:val="16"/>
  </w:num>
  <w:num w:numId="18">
    <w:abstractNumId w:val="22"/>
  </w:num>
  <w:num w:numId="19">
    <w:abstractNumId w:val="2"/>
  </w:num>
  <w:num w:numId="20">
    <w:abstractNumId w:val="0"/>
  </w:num>
  <w:num w:numId="21">
    <w:abstractNumId w:val="3"/>
  </w:num>
  <w:num w:numId="22">
    <w:abstractNumId w:val="26"/>
  </w:num>
  <w:num w:numId="23">
    <w:abstractNumId w:val="20"/>
  </w:num>
  <w:num w:numId="24">
    <w:abstractNumId w:val="1"/>
  </w:num>
  <w:num w:numId="25">
    <w:abstractNumId w:val="18"/>
  </w:num>
  <w:num w:numId="26">
    <w:abstractNumId w:val="13"/>
  </w:num>
  <w:num w:numId="27">
    <w:abstractNumId w:val="6"/>
  </w:num>
  <w:num w:numId="28">
    <w:abstractNumId w:val="11"/>
  </w:num>
  <w:num w:numId="29">
    <w:abstractNumId w:val="17"/>
  </w:num>
  <w:num w:numId="30">
    <w:abstractNumId w:val="28"/>
  </w:num>
  <w:num w:numId="31">
    <w:abstractNumId w:val="23"/>
  </w:num>
  <w:num w:numId="32">
    <w:abstractNumId w:val="32"/>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cwMDMzt7Q0MzY2NrVQ0lEKTi0uzszPAykwqgUArwDT8SwAAAA="/>
  </w:docVars>
  <w:rsids>
    <w:rsidRoot w:val="00F95507"/>
    <w:rsid w:val="000125A7"/>
    <w:rsid w:val="00027A07"/>
    <w:rsid w:val="00037363"/>
    <w:rsid w:val="00052CC0"/>
    <w:rsid w:val="00052E59"/>
    <w:rsid w:val="00083CE1"/>
    <w:rsid w:val="000E63E7"/>
    <w:rsid w:val="00124A6A"/>
    <w:rsid w:val="00142D61"/>
    <w:rsid w:val="0015742E"/>
    <w:rsid w:val="0016218A"/>
    <w:rsid w:val="00181134"/>
    <w:rsid w:val="00186247"/>
    <w:rsid w:val="0019236B"/>
    <w:rsid w:val="001A1944"/>
    <w:rsid w:val="001A50D3"/>
    <w:rsid w:val="001B2EB8"/>
    <w:rsid w:val="001F7DD4"/>
    <w:rsid w:val="00200ED1"/>
    <w:rsid w:val="00221467"/>
    <w:rsid w:val="00261953"/>
    <w:rsid w:val="00263E72"/>
    <w:rsid w:val="00275341"/>
    <w:rsid w:val="00291477"/>
    <w:rsid w:val="00293025"/>
    <w:rsid w:val="002B0EE5"/>
    <w:rsid w:val="002B339B"/>
    <w:rsid w:val="002F5B53"/>
    <w:rsid w:val="00302C66"/>
    <w:rsid w:val="003279AC"/>
    <w:rsid w:val="003314EC"/>
    <w:rsid w:val="00337FDE"/>
    <w:rsid w:val="00343E70"/>
    <w:rsid w:val="003551DD"/>
    <w:rsid w:val="003602A4"/>
    <w:rsid w:val="00372C7A"/>
    <w:rsid w:val="00396F40"/>
    <w:rsid w:val="003B5E50"/>
    <w:rsid w:val="003D1810"/>
    <w:rsid w:val="00405987"/>
    <w:rsid w:val="004142CD"/>
    <w:rsid w:val="00436A5D"/>
    <w:rsid w:val="0046479C"/>
    <w:rsid w:val="004A786F"/>
    <w:rsid w:val="004C1F78"/>
    <w:rsid w:val="004E2B42"/>
    <w:rsid w:val="0051333B"/>
    <w:rsid w:val="00514A31"/>
    <w:rsid w:val="005173CA"/>
    <w:rsid w:val="0052561F"/>
    <w:rsid w:val="00532C48"/>
    <w:rsid w:val="005503CD"/>
    <w:rsid w:val="00576017"/>
    <w:rsid w:val="005869C4"/>
    <w:rsid w:val="005916C9"/>
    <w:rsid w:val="005A210F"/>
    <w:rsid w:val="005A7C6C"/>
    <w:rsid w:val="005D2ECF"/>
    <w:rsid w:val="0061048A"/>
    <w:rsid w:val="00636DEB"/>
    <w:rsid w:val="006422DE"/>
    <w:rsid w:val="00676AB8"/>
    <w:rsid w:val="006937E0"/>
    <w:rsid w:val="00695D1B"/>
    <w:rsid w:val="00697FEA"/>
    <w:rsid w:val="006B3BA0"/>
    <w:rsid w:val="006B453C"/>
    <w:rsid w:val="00705E73"/>
    <w:rsid w:val="007206B1"/>
    <w:rsid w:val="00731EB9"/>
    <w:rsid w:val="00732BAD"/>
    <w:rsid w:val="007361B7"/>
    <w:rsid w:val="0076300E"/>
    <w:rsid w:val="007A6B45"/>
    <w:rsid w:val="0083283C"/>
    <w:rsid w:val="008658D5"/>
    <w:rsid w:val="008752A2"/>
    <w:rsid w:val="008841E2"/>
    <w:rsid w:val="008920E6"/>
    <w:rsid w:val="008C04D9"/>
    <w:rsid w:val="008C7FA7"/>
    <w:rsid w:val="008D12E4"/>
    <w:rsid w:val="00907220"/>
    <w:rsid w:val="009074A5"/>
    <w:rsid w:val="00957590"/>
    <w:rsid w:val="0097599E"/>
    <w:rsid w:val="009A2979"/>
    <w:rsid w:val="009A71E6"/>
    <w:rsid w:val="009B3547"/>
    <w:rsid w:val="009C6D76"/>
    <w:rsid w:val="009E710A"/>
    <w:rsid w:val="009F29FF"/>
    <w:rsid w:val="00A02325"/>
    <w:rsid w:val="00A377A4"/>
    <w:rsid w:val="00A67596"/>
    <w:rsid w:val="00A74894"/>
    <w:rsid w:val="00A760B7"/>
    <w:rsid w:val="00A83978"/>
    <w:rsid w:val="00A904E8"/>
    <w:rsid w:val="00A97290"/>
    <w:rsid w:val="00AB0B26"/>
    <w:rsid w:val="00AB55CA"/>
    <w:rsid w:val="00AB77EC"/>
    <w:rsid w:val="00B876F7"/>
    <w:rsid w:val="00B9521E"/>
    <w:rsid w:val="00BB38C1"/>
    <w:rsid w:val="00BD707B"/>
    <w:rsid w:val="00BE7E87"/>
    <w:rsid w:val="00BF534C"/>
    <w:rsid w:val="00C370C9"/>
    <w:rsid w:val="00C43297"/>
    <w:rsid w:val="00C83094"/>
    <w:rsid w:val="00D15B7C"/>
    <w:rsid w:val="00D2147E"/>
    <w:rsid w:val="00D25F52"/>
    <w:rsid w:val="00D677DD"/>
    <w:rsid w:val="00DA1AC8"/>
    <w:rsid w:val="00DE2E49"/>
    <w:rsid w:val="00E0366B"/>
    <w:rsid w:val="00E142C3"/>
    <w:rsid w:val="00E35C51"/>
    <w:rsid w:val="00E43DD6"/>
    <w:rsid w:val="00E469E3"/>
    <w:rsid w:val="00E82F47"/>
    <w:rsid w:val="00E85D64"/>
    <w:rsid w:val="00E86D3D"/>
    <w:rsid w:val="00EF27D2"/>
    <w:rsid w:val="00EF41DB"/>
    <w:rsid w:val="00F137BE"/>
    <w:rsid w:val="00F2774C"/>
    <w:rsid w:val="00F44A51"/>
    <w:rsid w:val="00F60893"/>
    <w:rsid w:val="00F71EF2"/>
    <w:rsid w:val="00F8491A"/>
    <w:rsid w:val="00F912BF"/>
    <w:rsid w:val="00F95507"/>
    <w:rsid w:val="00FA2106"/>
    <w:rsid w:val="00FC78CE"/>
    <w:rsid w:val="00FF50A6"/>
    <w:rsid w:val="08EA3B4E"/>
    <w:rsid w:val="0A9F3D05"/>
    <w:rsid w:val="175F3404"/>
    <w:rsid w:val="20773139"/>
    <w:rsid w:val="23EDE41B"/>
    <w:rsid w:val="254AA25C"/>
    <w:rsid w:val="2632401C"/>
    <w:rsid w:val="28209BC7"/>
    <w:rsid w:val="28A4CDE9"/>
    <w:rsid w:val="2D3C8BE4"/>
    <w:rsid w:val="33ABCD68"/>
    <w:rsid w:val="35479DC9"/>
    <w:rsid w:val="363B60BC"/>
    <w:rsid w:val="3958FFE3"/>
    <w:rsid w:val="3D6CB1D2"/>
    <w:rsid w:val="3EF66D95"/>
    <w:rsid w:val="4211E60A"/>
    <w:rsid w:val="43C9DEB8"/>
    <w:rsid w:val="46518486"/>
    <w:rsid w:val="47017F7A"/>
    <w:rsid w:val="5538E4AB"/>
    <w:rsid w:val="555C07AE"/>
    <w:rsid w:val="575057AD"/>
    <w:rsid w:val="60912266"/>
    <w:rsid w:val="628CE313"/>
    <w:rsid w:val="666275A4"/>
    <w:rsid w:val="72A306DD"/>
    <w:rsid w:val="747DD8E5"/>
    <w:rsid w:val="79E4F5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5FB2BAC"/>
  <w15:chartTrackingRefBased/>
  <w15:docId w15:val="{E5489668-16CF-4F6C-8AD8-FCB6A4677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5507"/>
    <w:pPr>
      <w:spacing w:after="160" w:line="259" w:lineRule="auto"/>
    </w:pPr>
    <w:rPr>
      <w:sz w:val="22"/>
      <w:szCs w:val="22"/>
      <w:lang w:eastAsia="en-US"/>
    </w:rPr>
  </w:style>
  <w:style w:type="paragraph" w:styleId="Heading1">
    <w:name w:val="heading 1"/>
    <w:next w:val="Normal"/>
    <w:link w:val="Heading1Char"/>
    <w:uiPriority w:val="9"/>
    <w:unhideWhenUsed/>
    <w:qFormat/>
    <w:rsid w:val="0083283C"/>
    <w:pPr>
      <w:keepNext/>
      <w:keepLines/>
      <w:spacing w:line="259" w:lineRule="auto"/>
      <w:ind w:left="164" w:hanging="10"/>
      <w:outlineLvl w:val="0"/>
    </w:pPr>
    <w:rPr>
      <w:rFonts w:cs="Calibri"/>
      <w:color w:val="00AFBD"/>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955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5507"/>
    <w:pPr>
      <w:spacing w:after="0" w:line="240" w:lineRule="auto"/>
      <w:ind w:left="720"/>
      <w:contextualSpacing/>
    </w:pPr>
    <w:rPr>
      <w:rFonts w:ascii="Arial" w:eastAsia="Times New Roman" w:hAnsi="Arial" w:cs="Arial"/>
      <w:sz w:val="20"/>
      <w:szCs w:val="20"/>
    </w:rPr>
  </w:style>
  <w:style w:type="paragraph" w:styleId="Title">
    <w:name w:val="Title"/>
    <w:basedOn w:val="Normal"/>
    <w:link w:val="TitleChar"/>
    <w:qFormat/>
    <w:rsid w:val="00F95507"/>
    <w:rPr>
      <w:b/>
      <w:sz w:val="28"/>
    </w:rPr>
  </w:style>
  <w:style w:type="character" w:customStyle="1" w:styleId="TitleChar">
    <w:name w:val="Title Char"/>
    <w:link w:val="Title"/>
    <w:rsid w:val="00F95507"/>
    <w:rPr>
      <w:b/>
      <w:sz w:val="28"/>
    </w:rPr>
  </w:style>
  <w:style w:type="paragraph" w:styleId="NoSpacing">
    <w:name w:val="No Spacing"/>
    <w:uiPriority w:val="1"/>
    <w:qFormat/>
    <w:rsid w:val="00F95507"/>
    <w:rPr>
      <w:rFonts w:ascii="Arial" w:eastAsia="Times New Roman" w:hAnsi="Arial" w:cs="Arial"/>
      <w:lang w:eastAsia="en-US"/>
    </w:rPr>
  </w:style>
  <w:style w:type="paragraph" w:styleId="Header">
    <w:name w:val="header"/>
    <w:basedOn w:val="Normal"/>
    <w:link w:val="HeaderChar"/>
    <w:uiPriority w:val="99"/>
    <w:unhideWhenUsed/>
    <w:rsid w:val="00532C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2C48"/>
  </w:style>
  <w:style w:type="paragraph" w:styleId="Footer">
    <w:name w:val="footer"/>
    <w:basedOn w:val="Normal"/>
    <w:link w:val="FooterChar"/>
    <w:uiPriority w:val="99"/>
    <w:unhideWhenUsed/>
    <w:rsid w:val="00532C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2C48"/>
  </w:style>
  <w:style w:type="paragraph" w:styleId="BodyTextIndent">
    <w:name w:val="Body Text Indent"/>
    <w:basedOn w:val="Normal"/>
    <w:link w:val="BodyTextIndentChar"/>
    <w:rsid w:val="009E710A"/>
    <w:pPr>
      <w:spacing w:after="0" w:line="240" w:lineRule="auto"/>
      <w:ind w:left="4320" w:firstLine="720"/>
    </w:pPr>
    <w:rPr>
      <w:rFonts w:ascii="Times New Roman" w:eastAsia="Times New Roman" w:hAnsi="Times New Roman"/>
      <w:b/>
      <w:bCs/>
      <w:sz w:val="24"/>
      <w:szCs w:val="24"/>
    </w:rPr>
  </w:style>
  <w:style w:type="character" w:customStyle="1" w:styleId="BodyTextIndentChar">
    <w:name w:val="Body Text Indent Char"/>
    <w:link w:val="BodyTextIndent"/>
    <w:rsid w:val="009E710A"/>
    <w:rPr>
      <w:rFonts w:ascii="Times New Roman" w:eastAsia="Times New Roman" w:hAnsi="Times New Roman" w:cs="Times New Roman"/>
      <w:b/>
      <w:bCs/>
      <w:sz w:val="24"/>
      <w:szCs w:val="24"/>
    </w:rPr>
  </w:style>
  <w:style w:type="character" w:styleId="Hyperlink">
    <w:name w:val="Hyperlink"/>
    <w:uiPriority w:val="99"/>
    <w:unhideWhenUsed/>
    <w:rsid w:val="00DA1AC8"/>
    <w:rPr>
      <w:color w:val="0563C1"/>
      <w:u w:val="single"/>
    </w:rPr>
  </w:style>
  <w:style w:type="character" w:styleId="Strong">
    <w:name w:val="Strong"/>
    <w:uiPriority w:val="22"/>
    <w:qFormat/>
    <w:rsid w:val="008C04D9"/>
    <w:rPr>
      <w:b/>
      <w:bCs/>
    </w:rPr>
  </w:style>
  <w:style w:type="paragraph" w:styleId="BalloonText">
    <w:name w:val="Balloon Text"/>
    <w:basedOn w:val="Normal"/>
    <w:link w:val="BalloonTextChar"/>
    <w:uiPriority w:val="99"/>
    <w:semiHidden/>
    <w:unhideWhenUsed/>
    <w:rsid w:val="006B453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B453C"/>
    <w:rPr>
      <w:rFonts w:ascii="Segoe UI" w:hAnsi="Segoe UI" w:cs="Segoe UI"/>
      <w:sz w:val="18"/>
      <w:szCs w:val="18"/>
      <w:lang w:eastAsia="en-US"/>
    </w:rPr>
  </w:style>
  <w:style w:type="character" w:styleId="Emphasis">
    <w:name w:val="Emphasis"/>
    <w:uiPriority w:val="20"/>
    <w:qFormat/>
    <w:rsid w:val="00AB77EC"/>
    <w:rPr>
      <w:i/>
      <w:iCs/>
    </w:rPr>
  </w:style>
  <w:style w:type="paragraph" w:customStyle="1" w:styleId="Default">
    <w:name w:val="Default"/>
    <w:rsid w:val="008C7FA7"/>
    <w:pPr>
      <w:autoSpaceDE w:val="0"/>
      <w:autoSpaceDN w:val="0"/>
      <w:adjustRightInd w:val="0"/>
    </w:pPr>
    <w:rPr>
      <w:rFonts w:ascii="Arial" w:hAnsi="Arial" w:cs="Arial"/>
      <w:color w:val="000000"/>
      <w:sz w:val="24"/>
      <w:szCs w:val="24"/>
    </w:rPr>
  </w:style>
  <w:style w:type="paragraph" w:customStyle="1" w:styleId="afterhead2">
    <w:name w:val="afterhead2"/>
    <w:basedOn w:val="Normal"/>
    <w:qFormat/>
    <w:rsid w:val="003314EC"/>
    <w:pPr>
      <w:tabs>
        <w:tab w:val="left" w:pos="851"/>
      </w:tabs>
      <w:spacing w:after="0" w:line="240" w:lineRule="auto"/>
      <w:ind w:left="851"/>
      <w:jc w:val="both"/>
    </w:pPr>
    <w:rPr>
      <w:rFonts w:ascii="Arial" w:eastAsia="Times New Roman" w:hAnsi="Arial"/>
      <w:szCs w:val="24"/>
    </w:rPr>
  </w:style>
  <w:style w:type="character" w:customStyle="1" w:styleId="Heading1Char">
    <w:name w:val="Heading 1 Char"/>
    <w:link w:val="Heading1"/>
    <w:uiPriority w:val="9"/>
    <w:rsid w:val="0083283C"/>
    <w:rPr>
      <w:rFonts w:cs="Calibri"/>
      <w:color w:val="00AFBD"/>
      <w:sz w:val="24"/>
      <w:szCs w:val="22"/>
    </w:rPr>
  </w:style>
  <w:style w:type="character" w:styleId="CommentReference">
    <w:name w:val="annotation reference"/>
    <w:basedOn w:val="DefaultParagraphFont"/>
    <w:uiPriority w:val="99"/>
    <w:semiHidden/>
    <w:unhideWhenUsed/>
    <w:rsid w:val="00D677DD"/>
    <w:rPr>
      <w:sz w:val="16"/>
      <w:szCs w:val="16"/>
    </w:rPr>
  </w:style>
  <w:style w:type="paragraph" w:styleId="CommentText">
    <w:name w:val="annotation text"/>
    <w:basedOn w:val="Normal"/>
    <w:link w:val="CommentTextChar"/>
    <w:uiPriority w:val="99"/>
    <w:semiHidden/>
    <w:unhideWhenUsed/>
    <w:rsid w:val="00D677DD"/>
    <w:pPr>
      <w:spacing w:line="240" w:lineRule="auto"/>
    </w:pPr>
    <w:rPr>
      <w:sz w:val="20"/>
      <w:szCs w:val="20"/>
    </w:rPr>
  </w:style>
  <w:style w:type="character" w:customStyle="1" w:styleId="CommentTextChar">
    <w:name w:val="Comment Text Char"/>
    <w:basedOn w:val="DefaultParagraphFont"/>
    <w:link w:val="CommentText"/>
    <w:uiPriority w:val="99"/>
    <w:semiHidden/>
    <w:rsid w:val="00D677DD"/>
    <w:rPr>
      <w:lang w:eastAsia="en-US"/>
    </w:rPr>
  </w:style>
  <w:style w:type="paragraph" w:styleId="CommentSubject">
    <w:name w:val="annotation subject"/>
    <w:basedOn w:val="CommentText"/>
    <w:next w:val="CommentText"/>
    <w:link w:val="CommentSubjectChar"/>
    <w:uiPriority w:val="99"/>
    <w:semiHidden/>
    <w:unhideWhenUsed/>
    <w:rsid w:val="00D677DD"/>
    <w:rPr>
      <w:b/>
      <w:bCs/>
    </w:rPr>
  </w:style>
  <w:style w:type="character" w:customStyle="1" w:styleId="CommentSubjectChar">
    <w:name w:val="Comment Subject Char"/>
    <w:basedOn w:val="CommentTextChar"/>
    <w:link w:val="CommentSubject"/>
    <w:uiPriority w:val="99"/>
    <w:semiHidden/>
    <w:rsid w:val="00D677DD"/>
    <w:rPr>
      <w:b/>
      <w:bCs/>
      <w:lang w:eastAsia="en-US"/>
    </w:rPr>
  </w:style>
  <w:style w:type="paragraph" w:styleId="FootnoteText">
    <w:name w:val="footnote text"/>
    <w:basedOn w:val="Normal"/>
    <w:link w:val="FootnoteTextChar"/>
    <w:uiPriority w:val="99"/>
    <w:semiHidden/>
    <w:unhideWhenUsed/>
    <w:rsid w:val="002619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61953"/>
    <w:rPr>
      <w:lang w:eastAsia="en-US"/>
    </w:rPr>
  </w:style>
  <w:style w:type="character" w:styleId="FootnoteReference">
    <w:name w:val="footnote reference"/>
    <w:basedOn w:val="DefaultParagraphFont"/>
    <w:uiPriority w:val="99"/>
    <w:semiHidden/>
    <w:unhideWhenUsed/>
    <w:rsid w:val="00261953"/>
    <w:rPr>
      <w:vertAlign w:val="superscript"/>
    </w:rPr>
  </w:style>
  <w:style w:type="character" w:customStyle="1"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633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C85895-9EFF-4648-8646-41E842991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681</Words>
  <Characters>3886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Coffey</dc:creator>
  <cp:keywords/>
  <dc:description/>
  <cp:lastModifiedBy>Mia Bryden</cp:lastModifiedBy>
  <cp:revision>2</cp:revision>
  <cp:lastPrinted>2018-11-13T10:44:00Z</cp:lastPrinted>
  <dcterms:created xsi:type="dcterms:W3CDTF">2021-07-20T10:43:00Z</dcterms:created>
  <dcterms:modified xsi:type="dcterms:W3CDTF">2021-07-20T10:43:00Z</dcterms:modified>
</cp:coreProperties>
</file>