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8E97F" w14:textId="77777777" w:rsidR="008834B3" w:rsidRPr="009B4BB4" w:rsidRDefault="008834B3" w:rsidP="00580185">
      <w:pPr>
        <w:autoSpaceDE w:val="0"/>
        <w:autoSpaceDN w:val="0"/>
        <w:adjustRightInd w:val="0"/>
        <w:jc w:val="both"/>
        <w:rPr>
          <w:rFonts w:ascii="Arial" w:hAnsi="Arial" w:cs="Arial"/>
          <w:b/>
          <w:sz w:val="24"/>
        </w:rPr>
      </w:pPr>
      <w:r w:rsidRPr="009B4BB4">
        <w:rPr>
          <w:rFonts w:ascii="Arial" w:hAnsi="Arial" w:cs="Arial"/>
          <w:b/>
          <w:sz w:val="24"/>
        </w:rPr>
        <w:t xml:space="preserve">East Sussex College Group (ESCG) Subcontractor </w:t>
      </w:r>
      <w:r>
        <w:rPr>
          <w:rFonts w:ascii="Arial" w:hAnsi="Arial" w:cs="Arial"/>
          <w:b/>
          <w:sz w:val="24"/>
        </w:rPr>
        <w:t>Reduction St</w:t>
      </w:r>
      <w:r w:rsidR="00557727">
        <w:rPr>
          <w:rFonts w:ascii="Arial" w:hAnsi="Arial" w:cs="Arial"/>
          <w:b/>
          <w:sz w:val="24"/>
        </w:rPr>
        <w:t>rategy</w:t>
      </w:r>
    </w:p>
    <w:p w14:paraId="672A6659" w14:textId="77777777" w:rsidR="008834B3" w:rsidRPr="009B4BB4" w:rsidRDefault="008834B3" w:rsidP="00580185">
      <w:pPr>
        <w:jc w:val="both"/>
        <w:rPr>
          <w:rFonts w:ascii="Arial" w:hAnsi="Arial" w:cs="Arial"/>
          <w:b/>
          <w:sz w:val="24"/>
        </w:rPr>
      </w:pPr>
    </w:p>
    <w:p w14:paraId="5F8D0886" w14:textId="77777777" w:rsidR="008834B3" w:rsidRPr="009A142E" w:rsidRDefault="008834B3" w:rsidP="00580185">
      <w:pPr>
        <w:jc w:val="both"/>
        <w:rPr>
          <w:rFonts w:ascii="Arial" w:hAnsi="Arial" w:cs="Arial"/>
          <w:b/>
          <w:color w:val="FF0000"/>
          <w:sz w:val="24"/>
        </w:rPr>
      </w:pPr>
      <w:r w:rsidRPr="009B4BB4">
        <w:rPr>
          <w:rFonts w:ascii="Arial" w:hAnsi="Arial" w:cs="Arial"/>
          <w:b/>
          <w:sz w:val="24"/>
        </w:rPr>
        <w:t>I</w:t>
      </w:r>
      <w:r w:rsidR="006F5002">
        <w:rPr>
          <w:rFonts w:ascii="Arial" w:hAnsi="Arial" w:cs="Arial"/>
          <w:b/>
          <w:sz w:val="24"/>
        </w:rPr>
        <w:t>ntroduction and rationale for subcontracting</w:t>
      </w:r>
      <w:r w:rsidR="009A142E">
        <w:rPr>
          <w:rStyle w:val="FootnoteReference"/>
          <w:rFonts w:ascii="Arial" w:hAnsi="Arial" w:cs="Arial"/>
          <w:b/>
          <w:sz w:val="24"/>
        </w:rPr>
        <w:footnoteReference w:id="1"/>
      </w:r>
    </w:p>
    <w:p w14:paraId="0A37501D" w14:textId="77777777" w:rsidR="008834B3" w:rsidRPr="009B4BB4" w:rsidRDefault="008834B3" w:rsidP="00580185">
      <w:pPr>
        <w:jc w:val="both"/>
        <w:rPr>
          <w:rFonts w:ascii="Arial" w:hAnsi="Arial" w:cs="Arial"/>
          <w:b/>
          <w:sz w:val="24"/>
        </w:rPr>
      </w:pPr>
    </w:p>
    <w:p w14:paraId="4ABB7F91" w14:textId="77777777" w:rsidR="008834B3" w:rsidRPr="009B4BB4" w:rsidRDefault="008834B3" w:rsidP="00580185">
      <w:pPr>
        <w:pStyle w:val="NoSpacing"/>
        <w:jc w:val="both"/>
        <w:rPr>
          <w:rFonts w:ascii="Arial" w:hAnsi="Arial" w:cs="Arial"/>
          <w:sz w:val="24"/>
          <w:szCs w:val="24"/>
        </w:rPr>
      </w:pPr>
      <w:r w:rsidRPr="009B4BB4">
        <w:rPr>
          <w:rFonts w:ascii="Arial" w:hAnsi="Arial" w:cs="Arial"/>
          <w:sz w:val="24"/>
          <w:szCs w:val="24"/>
        </w:rPr>
        <w:t>East Sussex College group (ESCG) currently manages a network of sub-contractors who deliver a range of qualifications. These partnerships enable ESCG to meet the needs of employers and learners across a broad range of sectors and a wide geographical area that complements existing provision undertaken by ESCG delivery teams.</w:t>
      </w:r>
    </w:p>
    <w:p w14:paraId="5DAB6C7B" w14:textId="77777777" w:rsidR="008834B3" w:rsidRPr="009B4BB4" w:rsidRDefault="008834B3" w:rsidP="00580185">
      <w:pPr>
        <w:pStyle w:val="NoSpacing"/>
        <w:jc w:val="both"/>
        <w:rPr>
          <w:rFonts w:ascii="Arial" w:eastAsia="Times New Roman" w:hAnsi="Arial" w:cs="Arial"/>
          <w:sz w:val="24"/>
          <w:szCs w:val="24"/>
          <w:lang w:eastAsia="en-GB"/>
        </w:rPr>
      </w:pPr>
    </w:p>
    <w:p w14:paraId="1854FEF0" w14:textId="77777777" w:rsidR="008834B3" w:rsidRPr="009B4BB4" w:rsidRDefault="008834B3" w:rsidP="00580185">
      <w:pPr>
        <w:jc w:val="both"/>
        <w:rPr>
          <w:rFonts w:ascii="Arial" w:hAnsi="Arial" w:cs="Arial"/>
          <w:sz w:val="24"/>
        </w:rPr>
      </w:pPr>
      <w:r w:rsidRPr="009B4BB4">
        <w:rPr>
          <w:rFonts w:ascii="Arial" w:hAnsi="Arial" w:cs="Arial"/>
          <w:sz w:val="24"/>
        </w:rPr>
        <w:t>ESCG is committed to the high quality delivery of a range of courses to meet wider community need, in line with the funders' priorities and identified skills gaps. ESCG maintains a national training consortium in order to increase its reputation nationally and will ensure this through competitive procurement via a Dynamic Purchasing System (DPS) in order to ensure competition, transparency and value for money. Procurement exercises are conducted in accordance with the Public Contracts Regulations 2015 (or as amended) through the application of a ‘Light Touch’ process, whilst ensuring that delivery is through high quality partners with the experience and expertise to meet specific employer and learner needs.</w:t>
      </w:r>
    </w:p>
    <w:p w14:paraId="02EB378F" w14:textId="77777777" w:rsidR="008834B3" w:rsidRPr="009B4BB4" w:rsidRDefault="008834B3" w:rsidP="00580185">
      <w:pPr>
        <w:jc w:val="both"/>
        <w:rPr>
          <w:rFonts w:ascii="Arial" w:eastAsia="Calibri" w:hAnsi="Arial" w:cs="Arial"/>
          <w:sz w:val="24"/>
        </w:rPr>
      </w:pPr>
    </w:p>
    <w:p w14:paraId="23F33A4D" w14:textId="77777777" w:rsidR="008834B3" w:rsidRPr="009B4BB4" w:rsidRDefault="008834B3" w:rsidP="00580185">
      <w:pPr>
        <w:jc w:val="both"/>
        <w:rPr>
          <w:rFonts w:ascii="Arial" w:eastAsia="Calibri" w:hAnsi="Arial" w:cs="Arial"/>
          <w:sz w:val="24"/>
        </w:rPr>
      </w:pPr>
      <w:r w:rsidRPr="009B4BB4">
        <w:rPr>
          <w:rFonts w:ascii="Arial" w:eastAsia="Calibri" w:hAnsi="Arial" w:cs="Arial"/>
          <w:sz w:val="24"/>
        </w:rPr>
        <w:t>Subcontracted delivery is procured to</w:t>
      </w:r>
      <w:r>
        <w:rPr>
          <w:rFonts w:ascii="Arial" w:eastAsia="Calibri" w:hAnsi="Arial" w:cs="Arial"/>
          <w:sz w:val="24"/>
        </w:rPr>
        <w:t xml:space="preserve"> provide</w:t>
      </w:r>
      <w:r w:rsidRPr="009B4BB4">
        <w:rPr>
          <w:rFonts w:ascii="Arial" w:eastAsia="Calibri" w:hAnsi="Arial" w:cs="Arial"/>
          <w:sz w:val="24"/>
        </w:rPr>
        <w:t>:</w:t>
      </w:r>
    </w:p>
    <w:p w14:paraId="6A05A809" w14:textId="77777777" w:rsidR="008834B3" w:rsidRPr="009B4BB4" w:rsidRDefault="008834B3" w:rsidP="00580185">
      <w:pPr>
        <w:jc w:val="both"/>
        <w:rPr>
          <w:rFonts w:ascii="Arial" w:eastAsia="Calibri" w:hAnsi="Arial" w:cs="Arial"/>
          <w:sz w:val="24"/>
        </w:rPr>
      </w:pPr>
    </w:p>
    <w:p w14:paraId="0A132C45" w14:textId="77777777" w:rsidR="008834B3" w:rsidRPr="009B4BB4" w:rsidRDefault="008834B3" w:rsidP="00580185">
      <w:pPr>
        <w:numPr>
          <w:ilvl w:val="0"/>
          <w:numId w:val="1"/>
        </w:numPr>
        <w:jc w:val="both"/>
        <w:rPr>
          <w:rFonts w:ascii="Arial" w:eastAsia="Calibri" w:hAnsi="Arial" w:cs="Arial"/>
          <w:sz w:val="24"/>
        </w:rPr>
      </w:pPr>
      <w:r w:rsidRPr="009B4BB4">
        <w:rPr>
          <w:rFonts w:ascii="Arial" w:eastAsia="Calibri" w:hAnsi="Arial" w:cs="Arial"/>
          <w:sz w:val="24"/>
        </w:rPr>
        <w:t>immediate provision to meet a specific identified need whilst reviewing the expansion of direct capacity.</w:t>
      </w:r>
    </w:p>
    <w:p w14:paraId="1747399B" w14:textId="77777777" w:rsidR="008834B3" w:rsidRPr="009B4BB4" w:rsidRDefault="008834B3" w:rsidP="00580185">
      <w:pPr>
        <w:numPr>
          <w:ilvl w:val="0"/>
          <w:numId w:val="1"/>
        </w:numPr>
        <w:jc w:val="both"/>
        <w:rPr>
          <w:rFonts w:ascii="Arial" w:eastAsia="Calibri" w:hAnsi="Arial" w:cs="Arial"/>
          <w:sz w:val="24"/>
        </w:rPr>
      </w:pPr>
      <w:r w:rsidRPr="009B4BB4">
        <w:rPr>
          <w:rFonts w:ascii="Arial" w:eastAsia="Calibri" w:hAnsi="Arial" w:cs="Arial"/>
          <w:sz w:val="24"/>
        </w:rPr>
        <w:t>access to, or engagement with, a new range of customers.</w:t>
      </w:r>
    </w:p>
    <w:p w14:paraId="630F9B40" w14:textId="77777777" w:rsidR="008834B3" w:rsidRPr="009B4BB4" w:rsidRDefault="008834B3" w:rsidP="00580185">
      <w:pPr>
        <w:numPr>
          <w:ilvl w:val="0"/>
          <w:numId w:val="1"/>
        </w:numPr>
        <w:jc w:val="both"/>
        <w:rPr>
          <w:rFonts w:ascii="Arial" w:eastAsia="Calibri" w:hAnsi="Arial" w:cs="Arial"/>
          <w:sz w:val="24"/>
        </w:rPr>
      </w:pPr>
      <w:r w:rsidRPr="009B4BB4">
        <w:rPr>
          <w:rFonts w:ascii="Arial" w:eastAsia="Calibri" w:hAnsi="Arial" w:cs="Arial"/>
          <w:sz w:val="24"/>
        </w:rPr>
        <w:t>niche delivery where the cost of developing direct delivery would be inappropriate / not cost viable.</w:t>
      </w:r>
    </w:p>
    <w:p w14:paraId="5A39BBE3" w14:textId="77777777" w:rsidR="008834B3" w:rsidRPr="009B4BB4" w:rsidRDefault="008834B3" w:rsidP="00580185">
      <w:pPr>
        <w:ind w:left="360"/>
        <w:jc w:val="both"/>
        <w:rPr>
          <w:rFonts w:ascii="Arial" w:eastAsia="Calibri" w:hAnsi="Arial" w:cs="Arial"/>
          <w:sz w:val="24"/>
        </w:rPr>
      </w:pPr>
    </w:p>
    <w:p w14:paraId="66DE2A4E" w14:textId="77777777" w:rsidR="008834B3" w:rsidRPr="009B4BB4" w:rsidRDefault="008834B3" w:rsidP="00580185">
      <w:pPr>
        <w:jc w:val="both"/>
        <w:rPr>
          <w:rFonts w:ascii="Arial" w:hAnsi="Arial" w:cs="Arial"/>
          <w:sz w:val="24"/>
        </w:rPr>
      </w:pPr>
      <w:r w:rsidRPr="009B4BB4">
        <w:rPr>
          <w:rFonts w:ascii="Arial" w:hAnsi="Arial" w:cs="Arial"/>
          <w:sz w:val="24"/>
        </w:rPr>
        <w:t xml:space="preserve">ESCG focuses the majority of its recurrent funding on meeting the needs of residents, employers and communities in East Sussex. For certain provision this natural geographic span increases to include the South East and Coast to Capital Local Enterprise Partnerships (LEPs). </w:t>
      </w:r>
    </w:p>
    <w:p w14:paraId="41C8F396" w14:textId="77777777" w:rsidR="008834B3" w:rsidRPr="009B4BB4" w:rsidRDefault="008834B3" w:rsidP="00580185">
      <w:pPr>
        <w:jc w:val="both"/>
        <w:rPr>
          <w:rFonts w:ascii="Arial" w:hAnsi="Arial" w:cs="Arial"/>
          <w:sz w:val="24"/>
        </w:rPr>
      </w:pPr>
    </w:p>
    <w:p w14:paraId="06113B41" w14:textId="77777777" w:rsidR="008834B3" w:rsidRPr="009B4BB4" w:rsidRDefault="008834B3" w:rsidP="00580185">
      <w:pPr>
        <w:jc w:val="both"/>
        <w:rPr>
          <w:rFonts w:ascii="Arial" w:hAnsi="Arial" w:cs="Arial"/>
          <w:sz w:val="24"/>
        </w:rPr>
      </w:pPr>
      <w:r w:rsidRPr="009B4BB4">
        <w:rPr>
          <w:rFonts w:ascii="Arial" w:hAnsi="Arial" w:cs="Arial"/>
          <w:sz w:val="24"/>
        </w:rPr>
        <w:t>The college recognises that it needs to reduce the volume of delivery that it subcontracts and is committed to reducing this in line with ESFA and FEC expectations, reducing the number of contracts it offers outside of the Coast to Capital and South East LEP areas in 2020/21</w:t>
      </w:r>
      <w:r>
        <w:rPr>
          <w:rFonts w:ascii="Arial" w:hAnsi="Arial" w:cs="Arial"/>
          <w:sz w:val="24"/>
        </w:rPr>
        <w:t xml:space="preserve"> with the elimination of provision outside of these geographies by 2022/23</w:t>
      </w:r>
      <w:r w:rsidRPr="009B4BB4">
        <w:rPr>
          <w:rFonts w:ascii="Arial" w:hAnsi="Arial" w:cs="Arial"/>
          <w:sz w:val="24"/>
        </w:rPr>
        <w:t>.</w:t>
      </w:r>
    </w:p>
    <w:p w14:paraId="72A3D3EC" w14:textId="77777777" w:rsidR="008834B3" w:rsidRPr="009B4BB4" w:rsidRDefault="008834B3" w:rsidP="00580185">
      <w:pPr>
        <w:jc w:val="both"/>
        <w:rPr>
          <w:rFonts w:ascii="Arial" w:hAnsi="Arial" w:cs="Arial"/>
          <w:sz w:val="24"/>
        </w:rPr>
      </w:pPr>
    </w:p>
    <w:p w14:paraId="3975DECE" w14:textId="77777777" w:rsidR="008834B3" w:rsidRPr="009B4BB4" w:rsidRDefault="008834B3" w:rsidP="00580185">
      <w:pPr>
        <w:jc w:val="both"/>
        <w:rPr>
          <w:rFonts w:ascii="Arial" w:hAnsi="Arial" w:cs="Arial"/>
          <w:sz w:val="24"/>
        </w:rPr>
      </w:pPr>
      <w:r w:rsidRPr="009B4BB4">
        <w:rPr>
          <w:rFonts w:ascii="Arial" w:hAnsi="Arial" w:cs="Arial"/>
          <w:sz w:val="24"/>
        </w:rPr>
        <w:t>This will be achieved via a managed process of reduction, in line with the tendering processes that are outlined in the rest of this policy, working with partners that are outside of these areas to manage their exit from our supply chain in a careful and considerate way.</w:t>
      </w:r>
    </w:p>
    <w:p w14:paraId="0D0B940D" w14:textId="77777777" w:rsidR="008834B3" w:rsidRPr="009B4BB4" w:rsidRDefault="008834B3" w:rsidP="00580185">
      <w:pPr>
        <w:jc w:val="both"/>
        <w:rPr>
          <w:rFonts w:ascii="Arial" w:hAnsi="Arial" w:cs="Arial"/>
          <w:sz w:val="24"/>
        </w:rPr>
      </w:pPr>
    </w:p>
    <w:p w14:paraId="73A53201" w14:textId="77777777" w:rsidR="008834B3" w:rsidRDefault="008834B3" w:rsidP="00580185">
      <w:pPr>
        <w:jc w:val="both"/>
        <w:rPr>
          <w:rFonts w:ascii="Arial" w:hAnsi="Arial" w:cs="Arial"/>
          <w:sz w:val="24"/>
        </w:rPr>
      </w:pPr>
      <w:r w:rsidRPr="009B4BB4">
        <w:rPr>
          <w:rFonts w:ascii="Arial" w:hAnsi="Arial" w:cs="Arial"/>
          <w:sz w:val="24"/>
        </w:rPr>
        <w:t>The college will</w:t>
      </w:r>
      <w:r>
        <w:rPr>
          <w:rFonts w:ascii="Arial" w:hAnsi="Arial" w:cs="Arial"/>
          <w:sz w:val="24"/>
        </w:rPr>
        <w:t>, subject to agreement with the ESFA,</w:t>
      </w:r>
      <w:r w:rsidRPr="009B4BB4">
        <w:rPr>
          <w:rFonts w:ascii="Arial" w:hAnsi="Arial" w:cs="Arial"/>
          <w:sz w:val="24"/>
        </w:rPr>
        <w:t xml:space="preserve"> continue to support partners in the delivery of national niche sectors such as Glass Fenestration, where there is a direct need by employers for growth within the sector.</w:t>
      </w:r>
    </w:p>
    <w:p w14:paraId="0E27B00A" w14:textId="77777777" w:rsidR="008834B3" w:rsidRDefault="008834B3" w:rsidP="00580185">
      <w:pPr>
        <w:jc w:val="both"/>
        <w:rPr>
          <w:rFonts w:ascii="Arial" w:hAnsi="Arial" w:cs="Arial"/>
          <w:sz w:val="24"/>
        </w:rPr>
      </w:pPr>
    </w:p>
    <w:p w14:paraId="6422CC2B" w14:textId="77777777" w:rsidR="00D15FD4" w:rsidRDefault="00D15FD4" w:rsidP="00580185">
      <w:pPr>
        <w:jc w:val="both"/>
        <w:rPr>
          <w:rFonts w:ascii="Arial" w:hAnsi="Arial" w:cs="Arial"/>
          <w:b/>
          <w:sz w:val="24"/>
        </w:rPr>
      </w:pPr>
      <w:r>
        <w:rPr>
          <w:rFonts w:ascii="Arial" w:hAnsi="Arial" w:cs="Arial"/>
          <w:b/>
          <w:sz w:val="24"/>
        </w:rPr>
        <w:t>Three year reduction plan</w:t>
      </w:r>
    </w:p>
    <w:p w14:paraId="60061E4C" w14:textId="77777777" w:rsidR="00D15FD4" w:rsidRDefault="00D15FD4" w:rsidP="00580185">
      <w:pPr>
        <w:jc w:val="both"/>
        <w:rPr>
          <w:rFonts w:ascii="Arial" w:hAnsi="Arial" w:cs="Arial"/>
          <w:b/>
          <w:sz w:val="24"/>
        </w:rPr>
      </w:pPr>
    </w:p>
    <w:p w14:paraId="76A93FA1" w14:textId="77777777" w:rsidR="00557727" w:rsidRDefault="00557727" w:rsidP="00580185">
      <w:pPr>
        <w:jc w:val="both"/>
        <w:rPr>
          <w:rFonts w:ascii="Arial" w:hAnsi="Arial" w:cs="Arial"/>
          <w:sz w:val="24"/>
        </w:rPr>
      </w:pPr>
      <w:r w:rsidRPr="00557727">
        <w:rPr>
          <w:rFonts w:ascii="Arial" w:hAnsi="Arial" w:cs="Arial"/>
          <w:sz w:val="24"/>
        </w:rPr>
        <w:t xml:space="preserve">The college group is focused on reducing the amount of funding that it subcontracts out with a specific focus on our recurrent ESFA funding streams (Study Programme and Adult Education Budget) </w:t>
      </w:r>
      <w:r>
        <w:rPr>
          <w:rFonts w:ascii="Arial" w:hAnsi="Arial" w:cs="Arial"/>
          <w:sz w:val="24"/>
        </w:rPr>
        <w:t>with these streams</w:t>
      </w:r>
      <w:r w:rsidR="00241D4C">
        <w:rPr>
          <w:rFonts w:ascii="Arial" w:hAnsi="Arial" w:cs="Arial"/>
          <w:sz w:val="24"/>
        </w:rPr>
        <w:t xml:space="preserve"> only</w:t>
      </w:r>
      <w:r>
        <w:rPr>
          <w:rFonts w:ascii="Arial" w:hAnsi="Arial" w:cs="Arial"/>
          <w:sz w:val="24"/>
        </w:rPr>
        <w:t xml:space="preserve"> being delivered internally from 2021/22. </w:t>
      </w:r>
    </w:p>
    <w:p w14:paraId="44EAFD9C" w14:textId="77777777" w:rsidR="00557727" w:rsidRDefault="00557727" w:rsidP="00580185">
      <w:pPr>
        <w:jc w:val="both"/>
        <w:rPr>
          <w:rFonts w:ascii="Arial" w:hAnsi="Arial" w:cs="Arial"/>
          <w:sz w:val="24"/>
        </w:rPr>
      </w:pPr>
    </w:p>
    <w:p w14:paraId="1AF3A812" w14:textId="77777777" w:rsidR="00557727" w:rsidRDefault="00557727" w:rsidP="00580185">
      <w:pPr>
        <w:jc w:val="both"/>
        <w:rPr>
          <w:rFonts w:ascii="Arial" w:hAnsi="Arial" w:cs="Arial"/>
          <w:sz w:val="24"/>
        </w:rPr>
      </w:pPr>
      <w:r>
        <w:rPr>
          <w:rFonts w:ascii="Arial" w:hAnsi="Arial" w:cs="Arial"/>
          <w:sz w:val="24"/>
        </w:rPr>
        <w:t>Subcontracted income from Apprenticeship will also reduce over the next three years, in part due to government policy changes with the ceasing of direct contracts between ESFA and prime providers from March 2021</w:t>
      </w:r>
      <w:r w:rsidR="00241D4C">
        <w:rPr>
          <w:rFonts w:ascii="Arial" w:hAnsi="Arial" w:cs="Arial"/>
          <w:sz w:val="24"/>
        </w:rPr>
        <w:t>,</w:t>
      </w:r>
      <w:r>
        <w:rPr>
          <w:rFonts w:ascii="Arial" w:hAnsi="Arial" w:cs="Arial"/>
          <w:sz w:val="24"/>
        </w:rPr>
        <w:t xml:space="preserve"> and a focus on reducing the geographic focus of our supply chain.</w:t>
      </w:r>
      <w:r w:rsidRPr="00557727">
        <w:rPr>
          <w:rFonts w:ascii="Arial" w:hAnsi="Arial" w:cs="Arial"/>
          <w:sz w:val="24"/>
        </w:rPr>
        <w:t xml:space="preserve"> </w:t>
      </w:r>
    </w:p>
    <w:p w14:paraId="4B94D5A5" w14:textId="77777777" w:rsidR="00557727" w:rsidRDefault="00557727" w:rsidP="00580185">
      <w:pPr>
        <w:jc w:val="both"/>
        <w:rPr>
          <w:rFonts w:ascii="Arial" w:hAnsi="Arial" w:cs="Arial"/>
          <w:sz w:val="24"/>
        </w:rPr>
      </w:pPr>
    </w:p>
    <w:p w14:paraId="2EFEEC72" w14:textId="77777777" w:rsidR="00557727" w:rsidRDefault="00557727" w:rsidP="00580185">
      <w:pPr>
        <w:jc w:val="both"/>
        <w:rPr>
          <w:rFonts w:ascii="Arial" w:hAnsi="Arial" w:cs="Arial"/>
          <w:sz w:val="24"/>
        </w:rPr>
      </w:pPr>
      <w:r>
        <w:rPr>
          <w:rFonts w:ascii="Arial" w:hAnsi="Arial" w:cs="Arial"/>
          <w:sz w:val="24"/>
        </w:rPr>
        <w:t>Our Higher Education subcontracting is with two specific partners in London under a partnership agreement agreed with Pearson, the Validation Partner for the HNC/D Programmes delivered under these arrangements.</w:t>
      </w:r>
    </w:p>
    <w:p w14:paraId="3DEEC669" w14:textId="77777777" w:rsidR="00557727" w:rsidRDefault="00557727" w:rsidP="00580185">
      <w:pPr>
        <w:jc w:val="both"/>
        <w:rPr>
          <w:rFonts w:ascii="Arial" w:hAnsi="Arial" w:cs="Arial"/>
          <w:sz w:val="24"/>
        </w:rPr>
      </w:pPr>
    </w:p>
    <w:p w14:paraId="186B0C8F" w14:textId="77777777" w:rsidR="00557727" w:rsidRDefault="00557727" w:rsidP="00580185">
      <w:pPr>
        <w:jc w:val="both"/>
        <w:rPr>
          <w:rFonts w:ascii="Arial" w:hAnsi="Arial" w:cs="Arial"/>
          <w:sz w:val="24"/>
        </w:rPr>
      </w:pPr>
      <w:r>
        <w:rPr>
          <w:rFonts w:ascii="Arial" w:hAnsi="Arial" w:cs="Arial"/>
          <w:sz w:val="24"/>
        </w:rPr>
        <w:t>The table below outlines the ESCG subcontracting reduction plan over the next three academic years to 2022/23.</w:t>
      </w:r>
    </w:p>
    <w:p w14:paraId="3656B9AB" w14:textId="77777777" w:rsidR="00557727" w:rsidRDefault="00557727" w:rsidP="00580185">
      <w:pPr>
        <w:jc w:val="both"/>
        <w:rPr>
          <w:rFonts w:ascii="Arial" w:hAnsi="Arial" w:cs="Arial"/>
          <w:sz w:val="24"/>
        </w:rPr>
      </w:pPr>
    </w:p>
    <w:tbl>
      <w:tblPr>
        <w:tblW w:w="9351" w:type="dxa"/>
        <w:tblLayout w:type="fixed"/>
        <w:tblLook w:val="04A0" w:firstRow="1" w:lastRow="0" w:firstColumn="1" w:lastColumn="0" w:noHBand="0" w:noVBand="1"/>
      </w:tblPr>
      <w:tblGrid>
        <w:gridCol w:w="3964"/>
        <w:gridCol w:w="1346"/>
        <w:gridCol w:w="1347"/>
        <w:gridCol w:w="1347"/>
        <w:gridCol w:w="1347"/>
      </w:tblGrid>
      <w:tr w:rsidR="00557727" w:rsidRPr="00557727" w14:paraId="3686C163" w14:textId="77777777" w:rsidTr="00580185">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000DA" w14:textId="77777777" w:rsidR="00557727" w:rsidRPr="00557727" w:rsidRDefault="00557727" w:rsidP="00580185">
            <w:pPr>
              <w:rPr>
                <w:rFonts w:ascii="Arial" w:hAnsi="Arial" w:cs="Arial"/>
                <w:b/>
                <w:color w:val="000000"/>
                <w:sz w:val="24"/>
              </w:rPr>
            </w:pPr>
            <w:r w:rsidRPr="00557727">
              <w:rPr>
                <w:rFonts w:ascii="Arial" w:hAnsi="Arial" w:cs="Arial"/>
                <w:b/>
                <w:color w:val="000000"/>
                <w:sz w:val="24"/>
              </w:rPr>
              <w:t>Academic Year</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26F4EAF7" w14:textId="77777777" w:rsidR="00557727" w:rsidRPr="00557727" w:rsidRDefault="00557727" w:rsidP="00617EEE">
            <w:pPr>
              <w:jc w:val="center"/>
              <w:rPr>
                <w:rFonts w:ascii="Arial" w:hAnsi="Arial" w:cs="Arial"/>
                <w:b/>
                <w:color w:val="000000"/>
                <w:sz w:val="24"/>
              </w:rPr>
            </w:pPr>
            <w:r w:rsidRPr="00557727">
              <w:rPr>
                <w:rFonts w:ascii="Arial" w:hAnsi="Arial" w:cs="Arial"/>
                <w:b/>
                <w:color w:val="000000"/>
                <w:sz w:val="24"/>
              </w:rPr>
              <w:t>19/20</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4CFAD0C1" w14:textId="77777777" w:rsidR="00557727" w:rsidRPr="00557727" w:rsidRDefault="00557727" w:rsidP="00617EEE">
            <w:pPr>
              <w:jc w:val="center"/>
              <w:rPr>
                <w:rFonts w:ascii="Arial" w:hAnsi="Arial" w:cs="Arial"/>
                <w:b/>
                <w:color w:val="000000"/>
                <w:sz w:val="24"/>
              </w:rPr>
            </w:pPr>
            <w:r w:rsidRPr="00557727">
              <w:rPr>
                <w:rFonts w:ascii="Arial" w:hAnsi="Arial" w:cs="Arial"/>
                <w:b/>
                <w:color w:val="000000"/>
                <w:sz w:val="24"/>
              </w:rPr>
              <w:t>20/21</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04F4525B" w14:textId="77777777" w:rsidR="00557727" w:rsidRPr="00557727" w:rsidRDefault="00557727" w:rsidP="00617EEE">
            <w:pPr>
              <w:jc w:val="center"/>
              <w:rPr>
                <w:rFonts w:ascii="Arial" w:hAnsi="Arial" w:cs="Arial"/>
                <w:b/>
                <w:color w:val="000000"/>
                <w:sz w:val="24"/>
              </w:rPr>
            </w:pPr>
            <w:r w:rsidRPr="00557727">
              <w:rPr>
                <w:rFonts w:ascii="Arial" w:hAnsi="Arial" w:cs="Arial"/>
                <w:b/>
                <w:color w:val="000000"/>
                <w:sz w:val="24"/>
              </w:rPr>
              <w:t>21/22</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20F09AA7" w14:textId="77777777" w:rsidR="00557727" w:rsidRPr="00557727" w:rsidRDefault="00557727" w:rsidP="00617EEE">
            <w:pPr>
              <w:jc w:val="center"/>
              <w:rPr>
                <w:rFonts w:ascii="Arial" w:hAnsi="Arial" w:cs="Arial"/>
                <w:b/>
                <w:color w:val="000000"/>
                <w:sz w:val="24"/>
              </w:rPr>
            </w:pPr>
            <w:r w:rsidRPr="00557727">
              <w:rPr>
                <w:rFonts w:ascii="Arial" w:hAnsi="Arial" w:cs="Arial"/>
                <w:b/>
                <w:color w:val="000000"/>
                <w:sz w:val="24"/>
              </w:rPr>
              <w:t>22/23</w:t>
            </w:r>
          </w:p>
        </w:tc>
      </w:tr>
      <w:tr w:rsidR="00557727" w:rsidRPr="00557727" w14:paraId="1DE887D9" w14:textId="77777777" w:rsidTr="00580185">
        <w:trPr>
          <w:trHeight w:val="288"/>
        </w:trPr>
        <w:tc>
          <w:tcPr>
            <w:tcW w:w="3964" w:type="dxa"/>
            <w:tcBorders>
              <w:top w:val="nil"/>
              <w:left w:val="single" w:sz="4" w:space="0" w:color="auto"/>
              <w:bottom w:val="single" w:sz="4" w:space="0" w:color="auto"/>
              <w:right w:val="single" w:sz="4" w:space="0" w:color="auto"/>
            </w:tcBorders>
            <w:shd w:val="clear" w:color="000000" w:fill="44546A"/>
            <w:noWrap/>
            <w:vAlign w:val="bottom"/>
            <w:hideMark/>
          </w:tcPr>
          <w:p w14:paraId="4B1BE9CE" w14:textId="77777777" w:rsidR="00557727" w:rsidRPr="00557727" w:rsidRDefault="00557727" w:rsidP="00580185">
            <w:pPr>
              <w:rPr>
                <w:rFonts w:ascii="Arial" w:hAnsi="Arial" w:cs="Arial"/>
                <w:b/>
                <w:bCs/>
                <w:color w:val="FFFFFF"/>
                <w:sz w:val="24"/>
              </w:rPr>
            </w:pPr>
            <w:r w:rsidRPr="00557727">
              <w:rPr>
                <w:rFonts w:ascii="Arial" w:hAnsi="Arial" w:cs="Arial"/>
                <w:b/>
                <w:bCs/>
                <w:color w:val="FFFFFF"/>
                <w:sz w:val="24"/>
              </w:rPr>
              <w:t>Funding Stream</w:t>
            </w:r>
          </w:p>
        </w:tc>
        <w:tc>
          <w:tcPr>
            <w:tcW w:w="1346" w:type="dxa"/>
            <w:tcBorders>
              <w:top w:val="nil"/>
              <w:left w:val="nil"/>
              <w:bottom w:val="single" w:sz="4" w:space="0" w:color="auto"/>
              <w:right w:val="single" w:sz="4" w:space="0" w:color="auto"/>
            </w:tcBorders>
            <w:shd w:val="clear" w:color="000000" w:fill="44546A"/>
            <w:noWrap/>
            <w:vAlign w:val="bottom"/>
            <w:hideMark/>
          </w:tcPr>
          <w:p w14:paraId="1512FCA1" w14:textId="77777777" w:rsidR="00557727" w:rsidRPr="00557727" w:rsidRDefault="00557727" w:rsidP="00617EEE">
            <w:pPr>
              <w:jc w:val="center"/>
              <w:rPr>
                <w:rFonts w:ascii="Arial" w:hAnsi="Arial" w:cs="Arial"/>
                <w:b/>
                <w:bCs/>
                <w:color w:val="FFFFFF"/>
                <w:sz w:val="24"/>
              </w:rPr>
            </w:pPr>
            <w:r w:rsidRPr="00557727">
              <w:rPr>
                <w:rFonts w:ascii="Arial" w:hAnsi="Arial" w:cs="Arial"/>
                <w:b/>
                <w:bCs/>
                <w:color w:val="FFFFFF"/>
                <w:sz w:val="24"/>
              </w:rPr>
              <w:t>£000's</w:t>
            </w:r>
          </w:p>
        </w:tc>
        <w:tc>
          <w:tcPr>
            <w:tcW w:w="1347" w:type="dxa"/>
            <w:tcBorders>
              <w:top w:val="nil"/>
              <w:left w:val="nil"/>
              <w:bottom w:val="single" w:sz="4" w:space="0" w:color="auto"/>
              <w:right w:val="single" w:sz="4" w:space="0" w:color="auto"/>
            </w:tcBorders>
            <w:shd w:val="clear" w:color="000000" w:fill="44546A"/>
            <w:noWrap/>
            <w:vAlign w:val="bottom"/>
            <w:hideMark/>
          </w:tcPr>
          <w:p w14:paraId="0F4C6ECD" w14:textId="77777777" w:rsidR="00557727" w:rsidRPr="00557727" w:rsidRDefault="00557727" w:rsidP="00617EEE">
            <w:pPr>
              <w:jc w:val="center"/>
              <w:rPr>
                <w:rFonts w:ascii="Arial" w:hAnsi="Arial" w:cs="Arial"/>
                <w:b/>
                <w:bCs/>
                <w:color w:val="FFFFFF"/>
                <w:sz w:val="24"/>
              </w:rPr>
            </w:pPr>
            <w:r w:rsidRPr="00557727">
              <w:rPr>
                <w:rFonts w:ascii="Arial" w:hAnsi="Arial" w:cs="Arial"/>
                <w:b/>
                <w:bCs/>
                <w:color w:val="FFFFFF"/>
                <w:sz w:val="24"/>
              </w:rPr>
              <w:t>£000's</w:t>
            </w:r>
          </w:p>
        </w:tc>
        <w:tc>
          <w:tcPr>
            <w:tcW w:w="1347" w:type="dxa"/>
            <w:tcBorders>
              <w:top w:val="nil"/>
              <w:left w:val="nil"/>
              <w:bottom w:val="single" w:sz="4" w:space="0" w:color="auto"/>
              <w:right w:val="single" w:sz="4" w:space="0" w:color="auto"/>
            </w:tcBorders>
            <w:shd w:val="clear" w:color="000000" w:fill="44546A"/>
            <w:noWrap/>
            <w:vAlign w:val="bottom"/>
            <w:hideMark/>
          </w:tcPr>
          <w:p w14:paraId="2974FFA4" w14:textId="77777777" w:rsidR="00557727" w:rsidRPr="00557727" w:rsidRDefault="00557727" w:rsidP="00617EEE">
            <w:pPr>
              <w:jc w:val="center"/>
              <w:rPr>
                <w:rFonts w:ascii="Arial" w:hAnsi="Arial" w:cs="Arial"/>
                <w:b/>
                <w:bCs/>
                <w:color w:val="FFFFFF"/>
                <w:sz w:val="24"/>
              </w:rPr>
            </w:pPr>
            <w:r w:rsidRPr="00557727">
              <w:rPr>
                <w:rFonts w:ascii="Arial" w:hAnsi="Arial" w:cs="Arial"/>
                <w:b/>
                <w:bCs/>
                <w:color w:val="FFFFFF"/>
                <w:sz w:val="24"/>
              </w:rPr>
              <w:t>£000's</w:t>
            </w:r>
          </w:p>
        </w:tc>
        <w:tc>
          <w:tcPr>
            <w:tcW w:w="1347" w:type="dxa"/>
            <w:tcBorders>
              <w:top w:val="nil"/>
              <w:left w:val="nil"/>
              <w:bottom w:val="single" w:sz="4" w:space="0" w:color="auto"/>
              <w:right w:val="single" w:sz="4" w:space="0" w:color="auto"/>
            </w:tcBorders>
            <w:shd w:val="clear" w:color="000000" w:fill="44546A"/>
            <w:noWrap/>
            <w:vAlign w:val="bottom"/>
            <w:hideMark/>
          </w:tcPr>
          <w:p w14:paraId="0B30FF62" w14:textId="77777777" w:rsidR="00557727" w:rsidRPr="00557727" w:rsidRDefault="00557727" w:rsidP="00617EEE">
            <w:pPr>
              <w:jc w:val="center"/>
              <w:rPr>
                <w:rFonts w:ascii="Arial" w:hAnsi="Arial" w:cs="Arial"/>
                <w:b/>
                <w:bCs/>
                <w:color w:val="FFFFFF"/>
                <w:sz w:val="24"/>
              </w:rPr>
            </w:pPr>
            <w:r w:rsidRPr="00557727">
              <w:rPr>
                <w:rFonts w:ascii="Arial" w:hAnsi="Arial" w:cs="Arial"/>
                <w:b/>
                <w:bCs/>
                <w:color w:val="FFFFFF"/>
                <w:sz w:val="24"/>
              </w:rPr>
              <w:t>£000's</w:t>
            </w:r>
          </w:p>
        </w:tc>
      </w:tr>
      <w:tr w:rsidR="00557727" w:rsidRPr="00557727" w14:paraId="47BA358D"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EDC637D"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16-19</w:t>
            </w:r>
            <w:r>
              <w:rPr>
                <w:rFonts w:ascii="Arial" w:hAnsi="Arial" w:cs="Arial"/>
                <w:color w:val="000000"/>
                <w:sz w:val="24"/>
              </w:rPr>
              <w:t xml:space="preserve"> Study Programmes</w:t>
            </w:r>
          </w:p>
        </w:tc>
        <w:tc>
          <w:tcPr>
            <w:tcW w:w="1346" w:type="dxa"/>
            <w:tcBorders>
              <w:top w:val="nil"/>
              <w:left w:val="nil"/>
              <w:bottom w:val="single" w:sz="4" w:space="0" w:color="auto"/>
              <w:right w:val="single" w:sz="4" w:space="0" w:color="auto"/>
            </w:tcBorders>
            <w:shd w:val="clear" w:color="auto" w:fill="auto"/>
            <w:noWrap/>
            <w:vAlign w:val="bottom"/>
            <w:hideMark/>
          </w:tcPr>
          <w:p w14:paraId="3E819382"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487</w:t>
            </w:r>
          </w:p>
        </w:tc>
        <w:tc>
          <w:tcPr>
            <w:tcW w:w="1347" w:type="dxa"/>
            <w:tcBorders>
              <w:top w:val="nil"/>
              <w:left w:val="nil"/>
              <w:bottom w:val="single" w:sz="4" w:space="0" w:color="auto"/>
              <w:right w:val="single" w:sz="4" w:space="0" w:color="auto"/>
            </w:tcBorders>
            <w:shd w:val="clear" w:color="auto" w:fill="auto"/>
            <w:noWrap/>
            <w:vAlign w:val="bottom"/>
            <w:hideMark/>
          </w:tcPr>
          <w:p w14:paraId="661E4D00"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450</w:t>
            </w:r>
          </w:p>
        </w:tc>
        <w:tc>
          <w:tcPr>
            <w:tcW w:w="1347" w:type="dxa"/>
            <w:tcBorders>
              <w:top w:val="nil"/>
              <w:left w:val="nil"/>
              <w:bottom w:val="single" w:sz="4" w:space="0" w:color="auto"/>
              <w:right w:val="single" w:sz="4" w:space="0" w:color="auto"/>
            </w:tcBorders>
            <w:shd w:val="clear" w:color="auto" w:fill="auto"/>
            <w:noWrap/>
            <w:vAlign w:val="bottom"/>
            <w:hideMark/>
          </w:tcPr>
          <w:p w14:paraId="4B584315"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2322F001"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r>
      <w:tr w:rsidR="00557727" w:rsidRPr="00557727" w14:paraId="25AC9336"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012B89F"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App</w:t>
            </w:r>
            <w:r>
              <w:rPr>
                <w:rFonts w:ascii="Arial" w:hAnsi="Arial" w:cs="Arial"/>
                <w:color w:val="000000"/>
                <w:sz w:val="24"/>
              </w:rPr>
              <w:t>renticeship</w:t>
            </w:r>
            <w:r w:rsidRPr="00557727">
              <w:rPr>
                <w:rFonts w:ascii="Arial" w:hAnsi="Arial" w:cs="Arial"/>
                <w:color w:val="000000"/>
                <w:sz w:val="24"/>
              </w:rPr>
              <w:t xml:space="preserve"> 16-18 Levy</w:t>
            </w:r>
          </w:p>
        </w:tc>
        <w:tc>
          <w:tcPr>
            <w:tcW w:w="1346" w:type="dxa"/>
            <w:tcBorders>
              <w:top w:val="nil"/>
              <w:left w:val="nil"/>
              <w:bottom w:val="single" w:sz="4" w:space="0" w:color="auto"/>
              <w:right w:val="single" w:sz="4" w:space="0" w:color="auto"/>
            </w:tcBorders>
            <w:shd w:val="clear" w:color="auto" w:fill="auto"/>
            <w:noWrap/>
            <w:vAlign w:val="bottom"/>
            <w:hideMark/>
          </w:tcPr>
          <w:p w14:paraId="704A35C2"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40</w:t>
            </w:r>
          </w:p>
        </w:tc>
        <w:tc>
          <w:tcPr>
            <w:tcW w:w="1347" w:type="dxa"/>
            <w:tcBorders>
              <w:top w:val="nil"/>
              <w:left w:val="nil"/>
              <w:bottom w:val="single" w:sz="4" w:space="0" w:color="auto"/>
              <w:right w:val="single" w:sz="4" w:space="0" w:color="auto"/>
            </w:tcBorders>
            <w:shd w:val="clear" w:color="auto" w:fill="auto"/>
            <w:noWrap/>
            <w:vAlign w:val="bottom"/>
            <w:hideMark/>
          </w:tcPr>
          <w:p w14:paraId="7B7EFE02"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33113584"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5531F93F"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r>
      <w:tr w:rsidR="00557727" w:rsidRPr="00557727" w14:paraId="3840767D"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500820A"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App</w:t>
            </w:r>
            <w:r>
              <w:rPr>
                <w:rFonts w:ascii="Arial" w:hAnsi="Arial" w:cs="Arial"/>
                <w:color w:val="000000"/>
                <w:sz w:val="24"/>
              </w:rPr>
              <w:t>renticeship</w:t>
            </w:r>
            <w:r w:rsidRPr="00557727">
              <w:rPr>
                <w:rFonts w:ascii="Arial" w:hAnsi="Arial" w:cs="Arial"/>
                <w:color w:val="000000"/>
                <w:sz w:val="24"/>
              </w:rPr>
              <w:t xml:space="preserve"> 19+ Levy</w:t>
            </w:r>
          </w:p>
        </w:tc>
        <w:tc>
          <w:tcPr>
            <w:tcW w:w="1346" w:type="dxa"/>
            <w:tcBorders>
              <w:top w:val="nil"/>
              <w:left w:val="nil"/>
              <w:bottom w:val="single" w:sz="4" w:space="0" w:color="auto"/>
              <w:right w:val="single" w:sz="4" w:space="0" w:color="auto"/>
            </w:tcBorders>
            <w:shd w:val="clear" w:color="auto" w:fill="auto"/>
            <w:noWrap/>
            <w:vAlign w:val="bottom"/>
            <w:hideMark/>
          </w:tcPr>
          <w:p w14:paraId="40805059"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175</w:t>
            </w:r>
          </w:p>
        </w:tc>
        <w:tc>
          <w:tcPr>
            <w:tcW w:w="1347" w:type="dxa"/>
            <w:tcBorders>
              <w:top w:val="nil"/>
              <w:left w:val="nil"/>
              <w:bottom w:val="single" w:sz="4" w:space="0" w:color="auto"/>
              <w:right w:val="single" w:sz="4" w:space="0" w:color="auto"/>
            </w:tcBorders>
            <w:shd w:val="clear" w:color="auto" w:fill="auto"/>
            <w:noWrap/>
            <w:vAlign w:val="bottom"/>
            <w:hideMark/>
          </w:tcPr>
          <w:p w14:paraId="0213FF8E"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370D6AA5"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05F7728E"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r>
      <w:tr w:rsidR="00557727" w:rsidRPr="00557727" w14:paraId="2D990391"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7E62859"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App</w:t>
            </w:r>
            <w:r>
              <w:rPr>
                <w:rFonts w:ascii="Arial" w:hAnsi="Arial" w:cs="Arial"/>
                <w:color w:val="000000"/>
                <w:sz w:val="24"/>
              </w:rPr>
              <w:t>renticeship</w:t>
            </w:r>
            <w:r w:rsidRPr="00557727">
              <w:rPr>
                <w:rFonts w:ascii="Arial" w:hAnsi="Arial" w:cs="Arial"/>
                <w:color w:val="000000"/>
                <w:sz w:val="24"/>
              </w:rPr>
              <w:t xml:space="preserve"> 16-18 non-levy</w:t>
            </w:r>
          </w:p>
        </w:tc>
        <w:tc>
          <w:tcPr>
            <w:tcW w:w="1346" w:type="dxa"/>
            <w:tcBorders>
              <w:top w:val="nil"/>
              <w:left w:val="nil"/>
              <w:bottom w:val="single" w:sz="4" w:space="0" w:color="auto"/>
              <w:right w:val="single" w:sz="4" w:space="0" w:color="auto"/>
            </w:tcBorders>
            <w:shd w:val="clear" w:color="auto" w:fill="auto"/>
            <w:noWrap/>
            <w:vAlign w:val="bottom"/>
            <w:hideMark/>
          </w:tcPr>
          <w:p w14:paraId="13E8E4DE"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2122</w:t>
            </w:r>
          </w:p>
        </w:tc>
        <w:tc>
          <w:tcPr>
            <w:tcW w:w="1347" w:type="dxa"/>
            <w:tcBorders>
              <w:top w:val="nil"/>
              <w:left w:val="nil"/>
              <w:bottom w:val="single" w:sz="4" w:space="0" w:color="auto"/>
              <w:right w:val="single" w:sz="4" w:space="0" w:color="auto"/>
            </w:tcBorders>
            <w:shd w:val="clear" w:color="auto" w:fill="auto"/>
            <w:noWrap/>
            <w:vAlign w:val="bottom"/>
            <w:hideMark/>
          </w:tcPr>
          <w:p w14:paraId="35FBA357"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1942</w:t>
            </w:r>
          </w:p>
        </w:tc>
        <w:tc>
          <w:tcPr>
            <w:tcW w:w="1347" w:type="dxa"/>
            <w:tcBorders>
              <w:top w:val="nil"/>
              <w:left w:val="nil"/>
              <w:bottom w:val="single" w:sz="4" w:space="0" w:color="auto"/>
              <w:right w:val="single" w:sz="4" w:space="0" w:color="auto"/>
            </w:tcBorders>
            <w:shd w:val="clear" w:color="auto" w:fill="auto"/>
            <w:noWrap/>
            <w:vAlign w:val="bottom"/>
            <w:hideMark/>
          </w:tcPr>
          <w:p w14:paraId="4EE938CE"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1000</w:t>
            </w:r>
          </w:p>
        </w:tc>
        <w:tc>
          <w:tcPr>
            <w:tcW w:w="1347" w:type="dxa"/>
            <w:tcBorders>
              <w:top w:val="nil"/>
              <w:left w:val="nil"/>
              <w:bottom w:val="single" w:sz="4" w:space="0" w:color="auto"/>
              <w:right w:val="single" w:sz="4" w:space="0" w:color="auto"/>
            </w:tcBorders>
            <w:shd w:val="clear" w:color="auto" w:fill="auto"/>
            <w:noWrap/>
            <w:vAlign w:val="bottom"/>
            <w:hideMark/>
          </w:tcPr>
          <w:p w14:paraId="3A96B3F4"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200</w:t>
            </w:r>
          </w:p>
        </w:tc>
      </w:tr>
      <w:tr w:rsidR="00557727" w:rsidRPr="00557727" w14:paraId="170C775A"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7A5E3B2"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App</w:t>
            </w:r>
            <w:r>
              <w:rPr>
                <w:rFonts w:ascii="Arial" w:hAnsi="Arial" w:cs="Arial"/>
                <w:color w:val="000000"/>
                <w:sz w:val="24"/>
              </w:rPr>
              <w:t>renticeship</w:t>
            </w:r>
            <w:r w:rsidRPr="00557727">
              <w:rPr>
                <w:rFonts w:ascii="Arial" w:hAnsi="Arial" w:cs="Arial"/>
                <w:color w:val="000000"/>
                <w:sz w:val="24"/>
              </w:rPr>
              <w:t xml:space="preserve"> 19+ non-levy</w:t>
            </w:r>
          </w:p>
        </w:tc>
        <w:tc>
          <w:tcPr>
            <w:tcW w:w="1346" w:type="dxa"/>
            <w:tcBorders>
              <w:top w:val="nil"/>
              <w:left w:val="nil"/>
              <w:bottom w:val="single" w:sz="4" w:space="0" w:color="auto"/>
              <w:right w:val="single" w:sz="4" w:space="0" w:color="auto"/>
            </w:tcBorders>
            <w:shd w:val="clear" w:color="auto" w:fill="auto"/>
            <w:noWrap/>
            <w:vAlign w:val="bottom"/>
            <w:hideMark/>
          </w:tcPr>
          <w:p w14:paraId="233E6ED0"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2109</w:t>
            </w:r>
          </w:p>
        </w:tc>
        <w:tc>
          <w:tcPr>
            <w:tcW w:w="1347" w:type="dxa"/>
            <w:tcBorders>
              <w:top w:val="nil"/>
              <w:left w:val="nil"/>
              <w:bottom w:val="single" w:sz="4" w:space="0" w:color="auto"/>
              <w:right w:val="single" w:sz="4" w:space="0" w:color="auto"/>
            </w:tcBorders>
            <w:shd w:val="clear" w:color="auto" w:fill="auto"/>
            <w:noWrap/>
            <w:vAlign w:val="bottom"/>
            <w:hideMark/>
          </w:tcPr>
          <w:p w14:paraId="71C6F5A0"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1002</w:t>
            </w:r>
          </w:p>
        </w:tc>
        <w:tc>
          <w:tcPr>
            <w:tcW w:w="1347" w:type="dxa"/>
            <w:tcBorders>
              <w:top w:val="nil"/>
              <w:left w:val="nil"/>
              <w:bottom w:val="single" w:sz="4" w:space="0" w:color="auto"/>
              <w:right w:val="single" w:sz="4" w:space="0" w:color="auto"/>
            </w:tcBorders>
            <w:shd w:val="clear" w:color="auto" w:fill="auto"/>
            <w:noWrap/>
            <w:vAlign w:val="bottom"/>
            <w:hideMark/>
          </w:tcPr>
          <w:p w14:paraId="5B060510"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500</w:t>
            </w:r>
          </w:p>
        </w:tc>
        <w:tc>
          <w:tcPr>
            <w:tcW w:w="1347" w:type="dxa"/>
            <w:tcBorders>
              <w:top w:val="nil"/>
              <w:left w:val="nil"/>
              <w:bottom w:val="single" w:sz="4" w:space="0" w:color="auto"/>
              <w:right w:val="single" w:sz="4" w:space="0" w:color="auto"/>
            </w:tcBorders>
            <w:shd w:val="clear" w:color="auto" w:fill="auto"/>
            <w:noWrap/>
            <w:vAlign w:val="bottom"/>
            <w:hideMark/>
          </w:tcPr>
          <w:p w14:paraId="68861898"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50</w:t>
            </w:r>
          </w:p>
        </w:tc>
      </w:tr>
      <w:tr w:rsidR="00557727" w:rsidRPr="00557727" w14:paraId="7FF39D7D"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7EE9A2F" w14:textId="77777777" w:rsidR="00557727" w:rsidRPr="00557727" w:rsidRDefault="00557727" w:rsidP="00580185">
            <w:pPr>
              <w:rPr>
                <w:rFonts w:ascii="Arial" w:hAnsi="Arial" w:cs="Arial"/>
                <w:color w:val="000000"/>
                <w:sz w:val="24"/>
              </w:rPr>
            </w:pPr>
            <w:r>
              <w:rPr>
                <w:rFonts w:ascii="Arial" w:hAnsi="Arial" w:cs="Arial"/>
                <w:color w:val="000000"/>
                <w:sz w:val="24"/>
              </w:rPr>
              <w:t>Adult Education Budget (</w:t>
            </w:r>
            <w:r w:rsidRPr="00557727">
              <w:rPr>
                <w:rFonts w:ascii="Arial" w:hAnsi="Arial" w:cs="Arial"/>
                <w:color w:val="000000"/>
                <w:sz w:val="24"/>
              </w:rPr>
              <w:t>AEB</w:t>
            </w:r>
            <w:r>
              <w:rPr>
                <w:rFonts w:ascii="Arial" w:hAnsi="Arial" w:cs="Arial"/>
                <w:color w:val="000000"/>
                <w:sz w:val="24"/>
              </w:rPr>
              <w:t>)</w:t>
            </w:r>
          </w:p>
        </w:tc>
        <w:tc>
          <w:tcPr>
            <w:tcW w:w="1346" w:type="dxa"/>
            <w:tcBorders>
              <w:top w:val="nil"/>
              <w:left w:val="nil"/>
              <w:bottom w:val="single" w:sz="4" w:space="0" w:color="auto"/>
              <w:right w:val="single" w:sz="4" w:space="0" w:color="auto"/>
            </w:tcBorders>
            <w:shd w:val="clear" w:color="auto" w:fill="auto"/>
            <w:noWrap/>
            <w:vAlign w:val="bottom"/>
            <w:hideMark/>
          </w:tcPr>
          <w:p w14:paraId="2640668B"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678</w:t>
            </w:r>
          </w:p>
        </w:tc>
        <w:tc>
          <w:tcPr>
            <w:tcW w:w="1347" w:type="dxa"/>
            <w:tcBorders>
              <w:top w:val="nil"/>
              <w:left w:val="nil"/>
              <w:bottom w:val="single" w:sz="4" w:space="0" w:color="auto"/>
              <w:right w:val="single" w:sz="4" w:space="0" w:color="auto"/>
            </w:tcBorders>
            <w:shd w:val="clear" w:color="auto" w:fill="auto"/>
            <w:noWrap/>
            <w:vAlign w:val="bottom"/>
            <w:hideMark/>
          </w:tcPr>
          <w:p w14:paraId="74BE4B70"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650</w:t>
            </w:r>
          </w:p>
        </w:tc>
        <w:tc>
          <w:tcPr>
            <w:tcW w:w="1347" w:type="dxa"/>
            <w:tcBorders>
              <w:top w:val="nil"/>
              <w:left w:val="nil"/>
              <w:bottom w:val="single" w:sz="4" w:space="0" w:color="auto"/>
              <w:right w:val="single" w:sz="4" w:space="0" w:color="auto"/>
            </w:tcBorders>
            <w:shd w:val="clear" w:color="auto" w:fill="auto"/>
            <w:noWrap/>
            <w:vAlign w:val="bottom"/>
            <w:hideMark/>
          </w:tcPr>
          <w:p w14:paraId="3D22F59A"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c>
          <w:tcPr>
            <w:tcW w:w="1347" w:type="dxa"/>
            <w:tcBorders>
              <w:top w:val="nil"/>
              <w:left w:val="nil"/>
              <w:bottom w:val="single" w:sz="4" w:space="0" w:color="auto"/>
              <w:right w:val="single" w:sz="4" w:space="0" w:color="auto"/>
            </w:tcBorders>
            <w:shd w:val="clear" w:color="auto" w:fill="auto"/>
            <w:noWrap/>
            <w:vAlign w:val="bottom"/>
            <w:hideMark/>
          </w:tcPr>
          <w:p w14:paraId="56C62623"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0</w:t>
            </w:r>
          </w:p>
        </w:tc>
      </w:tr>
      <w:tr w:rsidR="00557727" w:rsidRPr="00557727" w14:paraId="4D392223" w14:textId="77777777" w:rsidTr="00580185">
        <w:trPr>
          <w:trHeight w:val="288"/>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9B51E6E" w14:textId="77777777" w:rsidR="00557727" w:rsidRPr="00557727" w:rsidRDefault="00557727" w:rsidP="00580185">
            <w:pPr>
              <w:rPr>
                <w:rFonts w:ascii="Arial" w:hAnsi="Arial" w:cs="Arial"/>
                <w:color w:val="000000"/>
                <w:sz w:val="24"/>
              </w:rPr>
            </w:pPr>
            <w:r w:rsidRPr="00557727">
              <w:rPr>
                <w:rFonts w:ascii="Arial" w:hAnsi="Arial" w:cs="Arial"/>
                <w:color w:val="000000"/>
                <w:sz w:val="24"/>
              </w:rPr>
              <w:t>Higher Education</w:t>
            </w:r>
          </w:p>
        </w:tc>
        <w:tc>
          <w:tcPr>
            <w:tcW w:w="1346" w:type="dxa"/>
            <w:tcBorders>
              <w:top w:val="nil"/>
              <w:left w:val="nil"/>
              <w:bottom w:val="single" w:sz="4" w:space="0" w:color="auto"/>
              <w:right w:val="single" w:sz="4" w:space="0" w:color="auto"/>
            </w:tcBorders>
            <w:shd w:val="clear" w:color="auto" w:fill="auto"/>
            <w:noWrap/>
            <w:vAlign w:val="bottom"/>
            <w:hideMark/>
          </w:tcPr>
          <w:p w14:paraId="332603D5"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1214</w:t>
            </w:r>
          </w:p>
        </w:tc>
        <w:tc>
          <w:tcPr>
            <w:tcW w:w="1347" w:type="dxa"/>
            <w:tcBorders>
              <w:top w:val="nil"/>
              <w:left w:val="nil"/>
              <w:bottom w:val="single" w:sz="4" w:space="0" w:color="auto"/>
              <w:right w:val="single" w:sz="4" w:space="0" w:color="auto"/>
            </w:tcBorders>
            <w:shd w:val="clear" w:color="auto" w:fill="auto"/>
            <w:noWrap/>
            <w:vAlign w:val="bottom"/>
            <w:hideMark/>
          </w:tcPr>
          <w:p w14:paraId="11E665E1"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1214</w:t>
            </w:r>
          </w:p>
        </w:tc>
        <w:tc>
          <w:tcPr>
            <w:tcW w:w="1347" w:type="dxa"/>
            <w:tcBorders>
              <w:top w:val="nil"/>
              <w:left w:val="nil"/>
              <w:bottom w:val="single" w:sz="4" w:space="0" w:color="auto"/>
              <w:right w:val="single" w:sz="4" w:space="0" w:color="auto"/>
            </w:tcBorders>
            <w:shd w:val="clear" w:color="auto" w:fill="auto"/>
            <w:noWrap/>
            <w:vAlign w:val="bottom"/>
            <w:hideMark/>
          </w:tcPr>
          <w:p w14:paraId="6B08B9C8"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1214</w:t>
            </w:r>
          </w:p>
        </w:tc>
        <w:tc>
          <w:tcPr>
            <w:tcW w:w="1347" w:type="dxa"/>
            <w:tcBorders>
              <w:top w:val="nil"/>
              <w:left w:val="nil"/>
              <w:bottom w:val="single" w:sz="4" w:space="0" w:color="auto"/>
              <w:right w:val="single" w:sz="4" w:space="0" w:color="auto"/>
            </w:tcBorders>
            <w:shd w:val="clear" w:color="auto" w:fill="auto"/>
            <w:noWrap/>
            <w:vAlign w:val="bottom"/>
            <w:hideMark/>
          </w:tcPr>
          <w:p w14:paraId="322AB05D" w14:textId="77777777" w:rsidR="00557727" w:rsidRPr="00557727" w:rsidRDefault="00557727" w:rsidP="00580185">
            <w:pPr>
              <w:jc w:val="center"/>
              <w:rPr>
                <w:rFonts w:ascii="Arial" w:hAnsi="Arial" w:cs="Arial"/>
                <w:color w:val="000000"/>
                <w:sz w:val="24"/>
              </w:rPr>
            </w:pPr>
            <w:r w:rsidRPr="00557727">
              <w:rPr>
                <w:rFonts w:ascii="Arial" w:hAnsi="Arial" w:cs="Arial"/>
                <w:color w:val="000000"/>
                <w:sz w:val="24"/>
              </w:rPr>
              <w:t>1214</w:t>
            </w:r>
          </w:p>
        </w:tc>
      </w:tr>
      <w:tr w:rsidR="00557727" w:rsidRPr="00557727" w14:paraId="33FB9C3E" w14:textId="77777777" w:rsidTr="00580185">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E0C09" w14:textId="77777777" w:rsidR="00557727" w:rsidRPr="00557727" w:rsidRDefault="00557727" w:rsidP="00580185">
            <w:pPr>
              <w:rPr>
                <w:rFonts w:ascii="Arial" w:hAnsi="Arial" w:cs="Arial"/>
                <w:b/>
                <w:bCs/>
                <w:color w:val="000000"/>
                <w:sz w:val="24"/>
              </w:rPr>
            </w:pPr>
            <w:r w:rsidRPr="00557727">
              <w:rPr>
                <w:rFonts w:ascii="Arial" w:hAnsi="Arial" w:cs="Arial"/>
                <w:b/>
                <w:bCs/>
                <w:color w:val="000000"/>
                <w:sz w:val="24"/>
              </w:rPr>
              <w:t>Total</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1795DA28" w14:textId="77777777" w:rsidR="00557727" w:rsidRPr="00557727" w:rsidRDefault="00557727" w:rsidP="00580185">
            <w:pPr>
              <w:jc w:val="center"/>
              <w:rPr>
                <w:rFonts w:ascii="Arial" w:hAnsi="Arial" w:cs="Arial"/>
                <w:b/>
                <w:bCs/>
                <w:color w:val="000000"/>
                <w:sz w:val="24"/>
              </w:rPr>
            </w:pPr>
            <w:r w:rsidRPr="00557727">
              <w:rPr>
                <w:rFonts w:ascii="Arial" w:hAnsi="Arial" w:cs="Arial"/>
                <w:b/>
                <w:bCs/>
                <w:color w:val="000000"/>
                <w:sz w:val="24"/>
              </w:rPr>
              <w:t>6825</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28922CB3" w14:textId="77777777" w:rsidR="00557727" w:rsidRPr="00557727" w:rsidRDefault="00557727" w:rsidP="00580185">
            <w:pPr>
              <w:jc w:val="center"/>
              <w:rPr>
                <w:rFonts w:ascii="Arial" w:hAnsi="Arial" w:cs="Arial"/>
                <w:b/>
                <w:bCs/>
                <w:color w:val="000000"/>
                <w:sz w:val="24"/>
              </w:rPr>
            </w:pPr>
            <w:r w:rsidRPr="00557727">
              <w:rPr>
                <w:rFonts w:ascii="Arial" w:hAnsi="Arial" w:cs="Arial"/>
                <w:b/>
                <w:bCs/>
                <w:color w:val="000000"/>
                <w:sz w:val="24"/>
              </w:rPr>
              <w:t>5258</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5785698D" w14:textId="77777777" w:rsidR="00557727" w:rsidRPr="00557727" w:rsidRDefault="00557727" w:rsidP="00580185">
            <w:pPr>
              <w:jc w:val="center"/>
              <w:rPr>
                <w:rFonts w:ascii="Arial" w:hAnsi="Arial" w:cs="Arial"/>
                <w:b/>
                <w:bCs/>
                <w:color w:val="000000"/>
                <w:sz w:val="24"/>
              </w:rPr>
            </w:pPr>
            <w:r w:rsidRPr="00557727">
              <w:rPr>
                <w:rFonts w:ascii="Arial" w:hAnsi="Arial" w:cs="Arial"/>
                <w:b/>
                <w:bCs/>
                <w:color w:val="000000"/>
                <w:sz w:val="24"/>
              </w:rPr>
              <w:t>2714</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7E4ED79E" w14:textId="77777777" w:rsidR="00557727" w:rsidRPr="00557727" w:rsidRDefault="00557727" w:rsidP="00580185">
            <w:pPr>
              <w:jc w:val="center"/>
              <w:rPr>
                <w:rFonts w:ascii="Arial" w:hAnsi="Arial" w:cs="Arial"/>
                <w:b/>
                <w:bCs/>
                <w:color w:val="000000"/>
                <w:sz w:val="24"/>
              </w:rPr>
            </w:pPr>
            <w:r w:rsidRPr="00557727">
              <w:rPr>
                <w:rFonts w:ascii="Arial" w:hAnsi="Arial" w:cs="Arial"/>
                <w:b/>
                <w:bCs/>
                <w:color w:val="000000"/>
                <w:sz w:val="24"/>
              </w:rPr>
              <w:t>1464</w:t>
            </w:r>
          </w:p>
        </w:tc>
      </w:tr>
      <w:tr w:rsidR="00DB1C3B" w:rsidRPr="00557727" w14:paraId="03EA5CDD" w14:textId="77777777" w:rsidTr="003108B4">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9D997" w14:textId="77777777" w:rsidR="00DB1C3B" w:rsidRPr="00377777" w:rsidRDefault="00DB1C3B" w:rsidP="00DB1C3B">
            <w:pPr>
              <w:rPr>
                <w:rFonts w:ascii="Arial" w:hAnsi="Arial" w:cs="Arial"/>
                <w:b/>
                <w:bCs/>
                <w:color w:val="000000"/>
                <w:sz w:val="24"/>
              </w:rPr>
            </w:pPr>
            <w:r w:rsidRPr="00377777">
              <w:rPr>
                <w:rFonts w:ascii="Arial" w:hAnsi="Arial" w:cs="Arial"/>
                <w:b/>
                <w:bCs/>
                <w:color w:val="000000"/>
                <w:sz w:val="24"/>
              </w:rPr>
              <w:t>% change year on year</w:t>
            </w:r>
          </w:p>
        </w:tc>
        <w:tc>
          <w:tcPr>
            <w:tcW w:w="1346" w:type="dxa"/>
            <w:tcBorders>
              <w:top w:val="single" w:sz="4" w:space="0" w:color="auto"/>
              <w:left w:val="nil"/>
              <w:bottom w:val="single" w:sz="4" w:space="0" w:color="auto"/>
              <w:right w:val="single" w:sz="4" w:space="0" w:color="auto"/>
            </w:tcBorders>
            <w:shd w:val="clear" w:color="auto" w:fill="auto"/>
            <w:noWrap/>
            <w:vAlign w:val="bottom"/>
          </w:tcPr>
          <w:p w14:paraId="6E7BEAA2"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 </w:t>
            </w:r>
          </w:p>
        </w:tc>
        <w:tc>
          <w:tcPr>
            <w:tcW w:w="1347" w:type="dxa"/>
            <w:tcBorders>
              <w:top w:val="single" w:sz="4" w:space="0" w:color="auto"/>
              <w:left w:val="nil"/>
              <w:bottom w:val="single" w:sz="4" w:space="0" w:color="auto"/>
              <w:right w:val="single" w:sz="4" w:space="0" w:color="auto"/>
            </w:tcBorders>
            <w:shd w:val="clear" w:color="auto" w:fill="auto"/>
            <w:noWrap/>
            <w:vAlign w:val="bottom"/>
          </w:tcPr>
          <w:p w14:paraId="21B13A5F"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-23%</w:t>
            </w:r>
          </w:p>
        </w:tc>
        <w:tc>
          <w:tcPr>
            <w:tcW w:w="1347" w:type="dxa"/>
            <w:tcBorders>
              <w:top w:val="single" w:sz="4" w:space="0" w:color="auto"/>
              <w:left w:val="nil"/>
              <w:bottom w:val="single" w:sz="4" w:space="0" w:color="auto"/>
              <w:right w:val="single" w:sz="4" w:space="0" w:color="auto"/>
            </w:tcBorders>
            <w:shd w:val="clear" w:color="auto" w:fill="auto"/>
            <w:noWrap/>
            <w:vAlign w:val="bottom"/>
          </w:tcPr>
          <w:p w14:paraId="3C1271DE"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-48%</w:t>
            </w:r>
          </w:p>
        </w:tc>
        <w:tc>
          <w:tcPr>
            <w:tcW w:w="1347" w:type="dxa"/>
            <w:tcBorders>
              <w:top w:val="single" w:sz="4" w:space="0" w:color="auto"/>
              <w:left w:val="nil"/>
              <w:bottom w:val="single" w:sz="4" w:space="0" w:color="auto"/>
              <w:right w:val="single" w:sz="4" w:space="0" w:color="auto"/>
            </w:tcBorders>
            <w:shd w:val="clear" w:color="auto" w:fill="auto"/>
            <w:noWrap/>
            <w:vAlign w:val="bottom"/>
          </w:tcPr>
          <w:p w14:paraId="0754A3BA"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-46%</w:t>
            </w:r>
          </w:p>
        </w:tc>
      </w:tr>
      <w:tr w:rsidR="00DB1C3B" w:rsidRPr="00557727" w14:paraId="44997038" w14:textId="77777777" w:rsidTr="003108B4">
        <w:trPr>
          <w:trHeight w:val="28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C615C" w14:textId="77777777" w:rsidR="00DB1C3B" w:rsidRPr="00377777" w:rsidRDefault="00DB1C3B" w:rsidP="00DB1C3B">
            <w:pPr>
              <w:jc w:val="both"/>
              <w:rPr>
                <w:rFonts w:ascii="Arial" w:hAnsi="Arial" w:cs="Arial"/>
                <w:b/>
                <w:bCs/>
                <w:color w:val="000000"/>
                <w:sz w:val="24"/>
              </w:rPr>
            </w:pPr>
            <w:r w:rsidRPr="00377777">
              <w:rPr>
                <w:rFonts w:ascii="Arial" w:hAnsi="Arial" w:cs="Arial"/>
                <w:b/>
                <w:bCs/>
                <w:color w:val="000000"/>
                <w:sz w:val="24"/>
              </w:rPr>
              <w:t>% change from 2019/20</w:t>
            </w:r>
          </w:p>
        </w:tc>
        <w:tc>
          <w:tcPr>
            <w:tcW w:w="1346" w:type="dxa"/>
            <w:tcBorders>
              <w:top w:val="single" w:sz="4" w:space="0" w:color="auto"/>
              <w:left w:val="nil"/>
              <w:bottom w:val="single" w:sz="4" w:space="0" w:color="auto"/>
              <w:right w:val="single" w:sz="4" w:space="0" w:color="auto"/>
            </w:tcBorders>
            <w:shd w:val="clear" w:color="auto" w:fill="auto"/>
            <w:noWrap/>
            <w:vAlign w:val="center"/>
          </w:tcPr>
          <w:p w14:paraId="63E4A9CD" w14:textId="77777777" w:rsidR="00DB1C3B" w:rsidRPr="00377777" w:rsidRDefault="00DB1C3B" w:rsidP="00DB1C3B">
            <w:pPr>
              <w:jc w:val="both"/>
              <w:rPr>
                <w:rFonts w:ascii="Arial" w:hAnsi="Arial" w:cs="Arial"/>
                <w:b/>
                <w:bCs/>
                <w:color w:val="000000"/>
                <w:sz w:val="24"/>
              </w:rPr>
            </w:pPr>
            <w:r w:rsidRPr="00377777">
              <w:rPr>
                <w:rFonts w:ascii="Arial" w:hAnsi="Arial" w:cs="Arial"/>
                <w:b/>
                <w:bCs/>
                <w:color w:val="000000"/>
                <w:sz w:val="24"/>
              </w:rPr>
              <w:t>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77D0F8A6"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-23%</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DDB7FA5"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-60%</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50018A9E" w14:textId="77777777" w:rsidR="00DB1C3B" w:rsidRPr="00377777" w:rsidRDefault="00DB1C3B" w:rsidP="00DB1C3B">
            <w:pPr>
              <w:jc w:val="center"/>
              <w:rPr>
                <w:rFonts w:ascii="Arial" w:hAnsi="Arial" w:cs="Arial"/>
                <w:b/>
                <w:bCs/>
                <w:color w:val="000000"/>
                <w:sz w:val="24"/>
              </w:rPr>
            </w:pPr>
            <w:r w:rsidRPr="00377777">
              <w:rPr>
                <w:rFonts w:ascii="Arial" w:hAnsi="Arial" w:cs="Arial"/>
                <w:b/>
                <w:bCs/>
                <w:color w:val="000000"/>
                <w:sz w:val="24"/>
              </w:rPr>
              <w:t>-72%</w:t>
            </w:r>
          </w:p>
        </w:tc>
      </w:tr>
    </w:tbl>
    <w:p w14:paraId="45FB0818" w14:textId="77777777" w:rsidR="00557727" w:rsidRPr="00557727" w:rsidRDefault="00557727" w:rsidP="00580185">
      <w:pPr>
        <w:jc w:val="both"/>
        <w:rPr>
          <w:rFonts w:ascii="Arial" w:hAnsi="Arial" w:cs="Arial"/>
          <w:sz w:val="24"/>
        </w:rPr>
      </w:pPr>
    </w:p>
    <w:p w14:paraId="01FCFD17" w14:textId="77777777" w:rsidR="008834B3" w:rsidRDefault="008834B3" w:rsidP="00580185">
      <w:pPr>
        <w:jc w:val="both"/>
        <w:rPr>
          <w:rFonts w:ascii="Arial" w:hAnsi="Arial" w:cs="Arial"/>
          <w:b/>
          <w:sz w:val="24"/>
        </w:rPr>
      </w:pPr>
      <w:r w:rsidRPr="00D15FD4">
        <w:rPr>
          <w:rFonts w:ascii="Arial" w:hAnsi="Arial" w:cs="Arial"/>
          <w:b/>
          <w:sz w:val="24"/>
        </w:rPr>
        <w:t>2020/21</w:t>
      </w:r>
    </w:p>
    <w:p w14:paraId="049F31CB" w14:textId="77777777" w:rsidR="00165BE4" w:rsidRDefault="00165BE4" w:rsidP="00580185">
      <w:pPr>
        <w:jc w:val="both"/>
        <w:rPr>
          <w:rFonts w:ascii="Arial" w:hAnsi="Arial" w:cs="Arial"/>
          <w:b/>
          <w:sz w:val="24"/>
        </w:rPr>
      </w:pPr>
    </w:p>
    <w:p w14:paraId="12C4D46E" w14:textId="77777777" w:rsidR="00165BE4" w:rsidRPr="00165BE4" w:rsidRDefault="00165BE4" w:rsidP="00580185">
      <w:pPr>
        <w:jc w:val="both"/>
        <w:rPr>
          <w:rFonts w:ascii="Arial" w:hAnsi="Arial" w:cs="Arial"/>
          <w:sz w:val="24"/>
        </w:rPr>
      </w:pPr>
      <w:r>
        <w:rPr>
          <w:rFonts w:ascii="Arial" w:hAnsi="Arial" w:cs="Arial"/>
          <w:sz w:val="24"/>
        </w:rPr>
        <w:t>There is already s</w:t>
      </w:r>
      <w:r w:rsidRPr="00165BE4">
        <w:rPr>
          <w:rFonts w:ascii="Arial" w:hAnsi="Arial" w:cs="Arial"/>
          <w:sz w:val="24"/>
        </w:rPr>
        <w:t xml:space="preserve">ignificant change </w:t>
      </w:r>
      <w:r w:rsidR="005D04E8">
        <w:rPr>
          <w:rFonts w:ascii="Arial" w:hAnsi="Arial" w:cs="Arial"/>
          <w:sz w:val="24"/>
        </w:rPr>
        <w:t xml:space="preserve">planned </w:t>
      </w:r>
      <w:r w:rsidRPr="00165BE4">
        <w:rPr>
          <w:rFonts w:ascii="Arial" w:hAnsi="Arial" w:cs="Arial"/>
          <w:sz w:val="24"/>
        </w:rPr>
        <w:t>in the college’</w:t>
      </w:r>
      <w:r>
        <w:rPr>
          <w:rFonts w:ascii="Arial" w:hAnsi="Arial" w:cs="Arial"/>
          <w:sz w:val="24"/>
        </w:rPr>
        <w:t xml:space="preserve">s supply chain </w:t>
      </w:r>
      <w:r w:rsidRPr="00165BE4">
        <w:rPr>
          <w:rFonts w:ascii="Arial" w:hAnsi="Arial" w:cs="Arial"/>
          <w:sz w:val="24"/>
        </w:rPr>
        <w:t xml:space="preserve">for 2020/21 with a </w:t>
      </w:r>
      <w:r>
        <w:rPr>
          <w:rFonts w:ascii="Arial" w:hAnsi="Arial" w:cs="Arial"/>
          <w:sz w:val="24"/>
        </w:rPr>
        <w:t xml:space="preserve">52% </w:t>
      </w:r>
      <w:r w:rsidRPr="00165BE4">
        <w:rPr>
          <w:rFonts w:ascii="Arial" w:hAnsi="Arial" w:cs="Arial"/>
          <w:sz w:val="24"/>
        </w:rPr>
        <w:t xml:space="preserve">reduction in </w:t>
      </w:r>
      <w:r w:rsidR="005D04E8">
        <w:rPr>
          <w:rFonts w:ascii="Arial" w:hAnsi="Arial" w:cs="Arial"/>
          <w:sz w:val="24"/>
        </w:rPr>
        <w:t xml:space="preserve">the number of subcontractor </w:t>
      </w:r>
      <w:r w:rsidRPr="00165BE4">
        <w:rPr>
          <w:rFonts w:ascii="Arial" w:hAnsi="Arial" w:cs="Arial"/>
          <w:sz w:val="24"/>
        </w:rPr>
        <w:t xml:space="preserve">partners </w:t>
      </w:r>
      <w:r w:rsidR="005D04E8">
        <w:rPr>
          <w:rFonts w:ascii="Arial" w:hAnsi="Arial" w:cs="Arial"/>
          <w:sz w:val="24"/>
        </w:rPr>
        <w:t>(</w:t>
      </w:r>
      <w:r w:rsidRPr="00165BE4">
        <w:rPr>
          <w:rFonts w:ascii="Arial" w:hAnsi="Arial" w:cs="Arial"/>
          <w:sz w:val="24"/>
        </w:rPr>
        <w:t xml:space="preserve">from </w:t>
      </w:r>
      <w:r>
        <w:rPr>
          <w:rFonts w:ascii="Arial" w:hAnsi="Arial" w:cs="Arial"/>
          <w:sz w:val="24"/>
        </w:rPr>
        <w:t>33</w:t>
      </w:r>
      <w:r w:rsidRPr="00165BE4">
        <w:rPr>
          <w:rFonts w:ascii="Arial" w:hAnsi="Arial" w:cs="Arial"/>
          <w:sz w:val="24"/>
        </w:rPr>
        <w:t xml:space="preserve"> to </w:t>
      </w:r>
      <w:r>
        <w:rPr>
          <w:rFonts w:ascii="Arial" w:hAnsi="Arial" w:cs="Arial"/>
          <w:sz w:val="24"/>
        </w:rPr>
        <w:t>17</w:t>
      </w:r>
      <w:r w:rsidR="005D04E8">
        <w:rPr>
          <w:rFonts w:ascii="Arial" w:hAnsi="Arial" w:cs="Arial"/>
          <w:sz w:val="24"/>
        </w:rPr>
        <w:t>)</w:t>
      </w:r>
      <w:r w:rsidR="00D00612">
        <w:rPr>
          <w:rFonts w:ascii="Arial" w:hAnsi="Arial" w:cs="Arial"/>
          <w:sz w:val="24"/>
        </w:rPr>
        <w:t xml:space="preserve">, although a </w:t>
      </w:r>
      <w:r w:rsidRPr="00165BE4">
        <w:rPr>
          <w:rFonts w:ascii="Arial" w:hAnsi="Arial" w:cs="Arial"/>
          <w:sz w:val="24"/>
        </w:rPr>
        <w:t>small number of these will have very small rundown contracts to ensure the continuing learners are completed in the early part of 2020/21.</w:t>
      </w:r>
      <w:r w:rsidR="00241D4C">
        <w:rPr>
          <w:rFonts w:ascii="Arial" w:hAnsi="Arial" w:cs="Arial"/>
          <w:sz w:val="24"/>
        </w:rPr>
        <w:t xml:space="preserve"> (See annexe 1 for further detail.)</w:t>
      </w:r>
    </w:p>
    <w:p w14:paraId="53128261" w14:textId="77777777" w:rsidR="00165BE4" w:rsidRPr="009A142E" w:rsidRDefault="00165BE4" w:rsidP="00580185">
      <w:pPr>
        <w:jc w:val="both"/>
        <w:rPr>
          <w:rFonts w:ascii="Arial" w:hAnsi="Arial" w:cs="Arial"/>
          <w:sz w:val="24"/>
        </w:rPr>
      </w:pPr>
    </w:p>
    <w:p w14:paraId="48DC29F1" w14:textId="77777777" w:rsidR="008834B3" w:rsidRPr="009A142E" w:rsidRDefault="009A142E" w:rsidP="00580185">
      <w:pPr>
        <w:jc w:val="both"/>
        <w:rPr>
          <w:rFonts w:ascii="Arial" w:hAnsi="Arial" w:cs="Arial"/>
          <w:sz w:val="24"/>
        </w:rPr>
      </w:pPr>
      <w:r w:rsidRPr="009A142E">
        <w:rPr>
          <w:rStyle w:val="normaltextrun"/>
          <w:rFonts w:ascii="Arial" w:hAnsi="Arial" w:cs="Arial"/>
          <w:bCs/>
          <w:color w:val="000000"/>
          <w:sz w:val="24"/>
          <w:shd w:val="clear" w:color="auto" w:fill="FFFFFF"/>
        </w:rPr>
        <w:t xml:space="preserve">There will be a </w:t>
      </w:r>
      <w:r w:rsidR="005D04E8" w:rsidRPr="009A142E">
        <w:rPr>
          <w:rStyle w:val="normaltextrun"/>
          <w:rFonts w:ascii="Arial" w:hAnsi="Arial" w:cs="Arial"/>
          <w:bCs/>
          <w:color w:val="000000"/>
          <w:sz w:val="24"/>
          <w:shd w:val="clear" w:color="auto" w:fill="FFFFFF"/>
        </w:rPr>
        <w:t xml:space="preserve">43% reduction from the </w:t>
      </w:r>
      <w:r w:rsidRPr="009A142E">
        <w:rPr>
          <w:rStyle w:val="normaltextrun"/>
          <w:rFonts w:ascii="Arial" w:hAnsi="Arial" w:cs="Arial"/>
          <w:bCs/>
          <w:color w:val="000000"/>
          <w:sz w:val="24"/>
          <w:shd w:val="clear" w:color="auto" w:fill="FFFFFF"/>
        </w:rPr>
        <w:t xml:space="preserve">original </w:t>
      </w:r>
      <w:r w:rsidR="005D04E8" w:rsidRPr="009A142E">
        <w:rPr>
          <w:rStyle w:val="normaltextrun"/>
          <w:rFonts w:ascii="Arial" w:hAnsi="Arial" w:cs="Arial"/>
          <w:bCs/>
          <w:color w:val="000000"/>
          <w:sz w:val="24"/>
          <w:shd w:val="clear" w:color="auto" w:fill="FFFFFF"/>
        </w:rPr>
        <w:t>2019/20 Budget and a 2</w:t>
      </w:r>
      <w:r w:rsidRPr="009A142E">
        <w:rPr>
          <w:rStyle w:val="normaltextrun"/>
          <w:rFonts w:ascii="Arial" w:hAnsi="Arial" w:cs="Arial"/>
          <w:bCs/>
          <w:color w:val="000000"/>
          <w:sz w:val="24"/>
          <w:shd w:val="clear" w:color="auto" w:fill="FFFFFF"/>
        </w:rPr>
        <w:t>3</w:t>
      </w:r>
      <w:r w:rsidR="005D04E8" w:rsidRPr="009A142E">
        <w:rPr>
          <w:rStyle w:val="normaltextrun"/>
          <w:rFonts w:ascii="Arial" w:hAnsi="Arial" w:cs="Arial"/>
          <w:bCs/>
          <w:color w:val="000000"/>
          <w:sz w:val="24"/>
          <w:shd w:val="clear" w:color="auto" w:fill="FFFFFF"/>
        </w:rPr>
        <w:t>% reduct</w:t>
      </w:r>
      <w:r w:rsidRPr="009A142E">
        <w:rPr>
          <w:rStyle w:val="normaltextrun"/>
          <w:rFonts w:ascii="Arial" w:hAnsi="Arial" w:cs="Arial"/>
          <w:bCs/>
          <w:color w:val="000000"/>
          <w:sz w:val="24"/>
          <w:shd w:val="clear" w:color="auto" w:fill="FFFFFF"/>
        </w:rPr>
        <w:t>ion from the forecasted outturn.</w:t>
      </w:r>
    </w:p>
    <w:p w14:paraId="62486C05" w14:textId="77777777" w:rsidR="006F5002" w:rsidRPr="006F5002" w:rsidRDefault="006F5002" w:rsidP="00580185">
      <w:pPr>
        <w:ind w:left="-284"/>
        <w:jc w:val="both"/>
        <w:rPr>
          <w:rFonts w:ascii="Arial" w:hAnsi="Arial" w:cs="Arial"/>
          <w:sz w:val="24"/>
        </w:rPr>
      </w:pPr>
    </w:p>
    <w:p w14:paraId="6EC8A76F" w14:textId="77777777" w:rsidR="006F5002" w:rsidRPr="009A142E" w:rsidRDefault="006F5002" w:rsidP="00580185">
      <w:pPr>
        <w:jc w:val="both"/>
        <w:rPr>
          <w:rFonts w:ascii="Arial" w:hAnsi="Arial" w:cs="Arial"/>
          <w:b/>
          <w:sz w:val="24"/>
        </w:rPr>
      </w:pPr>
      <w:r w:rsidRPr="009A142E">
        <w:rPr>
          <w:rFonts w:ascii="Arial" w:hAnsi="Arial" w:cs="Arial"/>
          <w:b/>
          <w:sz w:val="24"/>
        </w:rPr>
        <w:t>2021/22</w:t>
      </w:r>
    </w:p>
    <w:p w14:paraId="4101652C" w14:textId="77777777" w:rsidR="006F5002" w:rsidRDefault="006F5002" w:rsidP="00580185">
      <w:pPr>
        <w:ind w:left="-284"/>
        <w:jc w:val="both"/>
        <w:rPr>
          <w:rFonts w:ascii="Arial" w:hAnsi="Arial" w:cs="Arial"/>
          <w:sz w:val="24"/>
        </w:rPr>
      </w:pPr>
    </w:p>
    <w:p w14:paraId="1C8D3137" w14:textId="77777777" w:rsidR="006F5002" w:rsidRPr="009A142E" w:rsidRDefault="009A142E" w:rsidP="00580185">
      <w:pPr>
        <w:jc w:val="both"/>
        <w:rPr>
          <w:rFonts w:ascii="Arial" w:hAnsi="Arial" w:cs="Arial"/>
          <w:sz w:val="24"/>
        </w:rPr>
      </w:pPr>
      <w:r w:rsidRPr="009A142E">
        <w:rPr>
          <w:rFonts w:ascii="Arial" w:hAnsi="Arial" w:cs="Arial"/>
          <w:sz w:val="24"/>
        </w:rPr>
        <w:t>The college is committed to eliminating subcontracting from 16-18 Study Programmes and Adult Education Budget (AEB) before the start of 202</w:t>
      </w:r>
      <w:r w:rsidR="005F1E18">
        <w:rPr>
          <w:rFonts w:ascii="Arial" w:hAnsi="Arial" w:cs="Arial"/>
          <w:sz w:val="24"/>
        </w:rPr>
        <w:t>1/22</w:t>
      </w:r>
      <w:r w:rsidRPr="009A142E">
        <w:rPr>
          <w:rFonts w:ascii="Arial" w:hAnsi="Arial" w:cs="Arial"/>
          <w:sz w:val="24"/>
        </w:rPr>
        <w:t xml:space="preserve">, delivering more localised provision </w:t>
      </w:r>
      <w:r w:rsidR="005F1E18">
        <w:rPr>
          <w:rFonts w:ascii="Arial" w:hAnsi="Arial" w:cs="Arial"/>
          <w:sz w:val="24"/>
        </w:rPr>
        <w:t xml:space="preserve">internally </w:t>
      </w:r>
      <w:r w:rsidRPr="009A142E">
        <w:rPr>
          <w:rFonts w:ascii="Arial" w:hAnsi="Arial" w:cs="Arial"/>
          <w:sz w:val="24"/>
        </w:rPr>
        <w:t xml:space="preserve">to meet identified needs. The AEB reduction also recognises the </w:t>
      </w:r>
      <w:r w:rsidR="005F1E18">
        <w:rPr>
          <w:rFonts w:ascii="Arial" w:hAnsi="Arial" w:cs="Arial"/>
          <w:sz w:val="24"/>
        </w:rPr>
        <w:t>expected</w:t>
      </w:r>
      <w:r w:rsidRPr="009A142E">
        <w:rPr>
          <w:rFonts w:ascii="Arial" w:hAnsi="Arial" w:cs="Arial"/>
          <w:sz w:val="24"/>
        </w:rPr>
        <w:t xml:space="preserve"> withdrawal of </w:t>
      </w:r>
      <w:r w:rsidR="005F1E18">
        <w:rPr>
          <w:rFonts w:ascii="Arial" w:hAnsi="Arial" w:cs="Arial"/>
          <w:sz w:val="24"/>
        </w:rPr>
        <w:t>the</w:t>
      </w:r>
      <w:r w:rsidRPr="009A142E">
        <w:rPr>
          <w:rFonts w:ascii="Arial" w:hAnsi="Arial" w:cs="Arial"/>
          <w:sz w:val="24"/>
        </w:rPr>
        <w:t xml:space="preserve"> GLA AEB contract of £390k</w:t>
      </w:r>
      <w:r w:rsidR="005F1E18">
        <w:rPr>
          <w:rFonts w:ascii="Arial" w:hAnsi="Arial" w:cs="Arial"/>
          <w:sz w:val="24"/>
        </w:rPr>
        <w:t>, which</w:t>
      </w:r>
      <w:r w:rsidRPr="009A142E">
        <w:rPr>
          <w:rFonts w:ascii="Arial" w:hAnsi="Arial" w:cs="Arial"/>
          <w:sz w:val="24"/>
        </w:rPr>
        <w:t xml:space="preserve"> is part of the subcontracting value in 2020/21.</w:t>
      </w:r>
    </w:p>
    <w:p w14:paraId="4B99056E" w14:textId="77777777" w:rsidR="009A142E" w:rsidRPr="009A142E" w:rsidRDefault="009A142E" w:rsidP="00580185">
      <w:pPr>
        <w:jc w:val="both"/>
        <w:rPr>
          <w:rFonts w:ascii="Arial" w:hAnsi="Arial" w:cs="Arial"/>
          <w:sz w:val="24"/>
        </w:rPr>
      </w:pPr>
    </w:p>
    <w:p w14:paraId="009DA8D7" w14:textId="77777777" w:rsidR="009A142E" w:rsidRPr="009A142E" w:rsidRDefault="009A142E" w:rsidP="00580185">
      <w:pPr>
        <w:jc w:val="both"/>
        <w:rPr>
          <w:rFonts w:ascii="Arial" w:hAnsi="Arial" w:cs="Arial"/>
          <w:sz w:val="24"/>
        </w:rPr>
      </w:pPr>
      <w:r w:rsidRPr="009A142E">
        <w:rPr>
          <w:rFonts w:ascii="Arial" w:hAnsi="Arial" w:cs="Arial"/>
          <w:sz w:val="24"/>
        </w:rPr>
        <w:t>Apprenticeship subcontracting will</w:t>
      </w:r>
      <w:r w:rsidR="005F1E18">
        <w:rPr>
          <w:rFonts w:ascii="Arial" w:hAnsi="Arial" w:cs="Arial"/>
          <w:sz w:val="24"/>
        </w:rPr>
        <w:t xml:space="preserve"> also</w:t>
      </w:r>
      <w:r w:rsidRPr="009A142E">
        <w:rPr>
          <w:rFonts w:ascii="Arial" w:hAnsi="Arial" w:cs="Arial"/>
          <w:sz w:val="24"/>
        </w:rPr>
        <w:t xml:space="preserve"> be reducing with only carry-in funding recognised in this academic year.</w:t>
      </w:r>
      <w:r>
        <w:rPr>
          <w:rFonts w:ascii="Arial" w:hAnsi="Arial" w:cs="Arial"/>
          <w:sz w:val="24"/>
        </w:rPr>
        <w:t xml:space="preserve"> ESCG anticipate</w:t>
      </w:r>
      <w:r w:rsidR="005F1E18">
        <w:rPr>
          <w:rFonts w:ascii="Arial" w:hAnsi="Arial" w:cs="Arial"/>
          <w:sz w:val="24"/>
        </w:rPr>
        <w:t>s</w:t>
      </w:r>
      <w:r>
        <w:rPr>
          <w:rFonts w:ascii="Arial" w:hAnsi="Arial" w:cs="Arial"/>
          <w:sz w:val="24"/>
        </w:rPr>
        <w:t xml:space="preserve"> that all distance subcontractors will either have completed their contracts or be on final year rundown contracts.</w:t>
      </w:r>
    </w:p>
    <w:p w14:paraId="1299C43A" w14:textId="77777777" w:rsidR="006F5002" w:rsidRPr="006F5002" w:rsidRDefault="006F5002" w:rsidP="00580185">
      <w:pPr>
        <w:ind w:left="-284"/>
        <w:jc w:val="both"/>
        <w:rPr>
          <w:rFonts w:ascii="Arial" w:hAnsi="Arial" w:cs="Arial"/>
          <w:sz w:val="24"/>
        </w:rPr>
      </w:pPr>
    </w:p>
    <w:p w14:paraId="1F635C1E" w14:textId="77777777" w:rsidR="005D04E8" w:rsidRPr="009A142E" w:rsidRDefault="006F5002" w:rsidP="00580185">
      <w:pPr>
        <w:jc w:val="both"/>
        <w:rPr>
          <w:rFonts w:ascii="Arial" w:hAnsi="Arial" w:cs="Arial"/>
          <w:b/>
          <w:sz w:val="24"/>
        </w:rPr>
      </w:pPr>
      <w:r w:rsidRPr="009A142E">
        <w:rPr>
          <w:rFonts w:ascii="Arial" w:hAnsi="Arial" w:cs="Arial"/>
          <w:b/>
          <w:sz w:val="24"/>
        </w:rPr>
        <w:t>2022/23</w:t>
      </w:r>
    </w:p>
    <w:p w14:paraId="4DDBEF00" w14:textId="77777777" w:rsidR="005D04E8" w:rsidRDefault="005D04E8" w:rsidP="00580185">
      <w:pPr>
        <w:jc w:val="both"/>
        <w:rPr>
          <w:rFonts w:ascii="Arial" w:hAnsi="Arial" w:cs="Arial"/>
          <w:sz w:val="24"/>
        </w:rPr>
      </w:pPr>
    </w:p>
    <w:p w14:paraId="0A8027AD" w14:textId="77777777" w:rsidR="005D04E8" w:rsidRPr="009A142E" w:rsidRDefault="009A142E" w:rsidP="00580185">
      <w:pPr>
        <w:jc w:val="both"/>
        <w:rPr>
          <w:rFonts w:ascii="Arial" w:hAnsi="Arial" w:cs="Arial"/>
          <w:sz w:val="24"/>
        </w:rPr>
      </w:pPr>
      <w:r w:rsidRPr="009A142E">
        <w:rPr>
          <w:rFonts w:ascii="Arial" w:hAnsi="Arial" w:cs="Arial"/>
          <w:sz w:val="24"/>
        </w:rPr>
        <w:t>The forecast includes small levels of carry-in funding for Apprenticeships and the maintenance of our Higher Education partnership, subject to continued agreement with Pearson as the validation partner.</w:t>
      </w:r>
    </w:p>
    <w:p w14:paraId="3461D779" w14:textId="227AD047" w:rsidR="005D04E8" w:rsidRDefault="005D04E8" w:rsidP="00580185">
      <w:pPr>
        <w:spacing w:after="160" w:line="259" w:lineRule="auto"/>
        <w:jc w:val="both"/>
        <w:rPr>
          <w:rFonts w:ascii="Arial" w:hAnsi="Arial" w:cs="Arial"/>
          <w:color w:val="FF0000"/>
          <w:sz w:val="24"/>
        </w:rPr>
      </w:pPr>
      <w:bookmarkStart w:id="0" w:name="_GoBack"/>
      <w:bookmarkEnd w:id="0"/>
    </w:p>
    <w:sectPr w:rsidR="005D04E8" w:rsidSect="005D56B8">
      <w:footerReference w:type="default" r:id="rId10"/>
      <w:pgSz w:w="11906" w:h="16838"/>
      <w:pgMar w:top="567" w:right="1133" w:bottom="56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12B" w14:textId="77777777" w:rsidR="009A142E" w:rsidRDefault="009A142E" w:rsidP="009A142E">
      <w:r>
        <w:separator/>
      </w:r>
    </w:p>
  </w:endnote>
  <w:endnote w:type="continuationSeparator" w:id="0">
    <w:p w14:paraId="2946DB82" w14:textId="77777777" w:rsidR="009A142E" w:rsidRDefault="009A142E" w:rsidP="009A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034828"/>
      <w:docPartObj>
        <w:docPartGallery w:val="Page Numbers (Bottom of Page)"/>
        <w:docPartUnique/>
      </w:docPartObj>
    </w:sdtPr>
    <w:sdtEndPr>
      <w:rPr>
        <w:noProof/>
      </w:rPr>
    </w:sdtEndPr>
    <w:sdtContent>
      <w:p w14:paraId="50230CC7" w14:textId="051D81FF" w:rsidR="00D122D8" w:rsidRDefault="00D122D8">
        <w:pPr>
          <w:pStyle w:val="Footer"/>
          <w:jc w:val="right"/>
        </w:pPr>
        <w:r>
          <w:fldChar w:fldCharType="begin"/>
        </w:r>
        <w:r>
          <w:instrText xml:space="preserve"> PAGE   \* MERGEFORMAT </w:instrText>
        </w:r>
        <w:r>
          <w:fldChar w:fldCharType="separate"/>
        </w:r>
        <w:r w:rsidR="00CF643B">
          <w:rPr>
            <w:noProof/>
          </w:rPr>
          <w:t>2</w:t>
        </w:r>
        <w:r>
          <w:rPr>
            <w:noProof/>
          </w:rPr>
          <w:fldChar w:fldCharType="end"/>
        </w:r>
      </w:p>
    </w:sdtContent>
  </w:sdt>
  <w:p w14:paraId="62EBF3C5" w14:textId="77777777" w:rsidR="00D122D8" w:rsidRDefault="00D1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CC1D" w14:textId="77777777" w:rsidR="009A142E" w:rsidRDefault="009A142E" w:rsidP="009A142E">
      <w:r>
        <w:separator/>
      </w:r>
    </w:p>
  </w:footnote>
  <w:footnote w:type="continuationSeparator" w:id="0">
    <w:p w14:paraId="110FFD37" w14:textId="77777777" w:rsidR="009A142E" w:rsidRDefault="009A142E" w:rsidP="009A142E">
      <w:r>
        <w:continuationSeparator/>
      </w:r>
    </w:p>
  </w:footnote>
  <w:footnote w:id="1">
    <w:p w14:paraId="12E153E9" w14:textId="77777777" w:rsidR="009A142E" w:rsidRPr="00735F28" w:rsidRDefault="009A142E">
      <w:pPr>
        <w:pStyle w:val="FootnoteText"/>
        <w:rPr>
          <w:rFonts w:ascii="Arial" w:hAnsi="Arial" w:cs="Arial"/>
        </w:rPr>
      </w:pPr>
      <w:r w:rsidRPr="00D122D8">
        <w:rPr>
          <w:rStyle w:val="FootnoteReference"/>
          <w:rFonts w:ascii="Arial" w:hAnsi="Arial" w:cs="Arial"/>
        </w:rPr>
        <w:footnoteRef/>
      </w:r>
      <w:r w:rsidRPr="00D122D8">
        <w:rPr>
          <w:rFonts w:ascii="Arial" w:hAnsi="Arial" w:cs="Arial"/>
        </w:rPr>
        <w:t xml:space="preserve"> </w:t>
      </w:r>
      <w:r w:rsidR="00735F28" w:rsidRPr="00D122D8">
        <w:rPr>
          <w:rFonts w:ascii="Arial" w:hAnsi="Arial" w:cs="Arial"/>
          <w:sz w:val="18"/>
        </w:rPr>
        <w:t>N</w:t>
      </w:r>
      <w:r w:rsidRPr="00D122D8">
        <w:rPr>
          <w:rFonts w:ascii="Arial" w:hAnsi="Arial" w:cs="Arial"/>
          <w:sz w:val="18"/>
        </w:rPr>
        <w:t>ote –</w:t>
      </w:r>
      <w:r w:rsidR="00735F28" w:rsidRPr="00D122D8">
        <w:rPr>
          <w:rFonts w:ascii="Arial" w:hAnsi="Arial" w:cs="Arial"/>
          <w:sz w:val="18"/>
        </w:rPr>
        <w:t xml:space="preserve"> this statement is</w:t>
      </w:r>
      <w:r w:rsidRPr="00D122D8">
        <w:rPr>
          <w:rFonts w:ascii="Arial" w:hAnsi="Arial" w:cs="Arial"/>
          <w:sz w:val="18"/>
        </w:rPr>
        <w:t xml:space="preserve"> taken from </w:t>
      </w:r>
      <w:r w:rsidR="00735F28" w:rsidRPr="00D122D8">
        <w:rPr>
          <w:rFonts w:ascii="Arial" w:hAnsi="Arial" w:cs="Arial"/>
          <w:sz w:val="18"/>
        </w:rPr>
        <w:t>the ESCG Subcontractor F</w:t>
      </w:r>
      <w:r w:rsidRPr="00D122D8">
        <w:rPr>
          <w:rFonts w:ascii="Arial" w:hAnsi="Arial" w:cs="Arial"/>
          <w:sz w:val="18"/>
        </w:rPr>
        <w:t>ees policy agreed a</w:t>
      </w:r>
      <w:r w:rsidR="00735F28" w:rsidRPr="00D122D8">
        <w:rPr>
          <w:rFonts w:ascii="Arial" w:hAnsi="Arial" w:cs="Arial"/>
          <w:sz w:val="18"/>
        </w:rPr>
        <w:t>t Finance Committee in May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4C3C"/>
    <w:multiLevelType w:val="hybridMultilevel"/>
    <w:tmpl w:val="7174E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B3"/>
    <w:rsid w:val="000C449F"/>
    <w:rsid w:val="00165BE4"/>
    <w:rsid w:val="00241D4C"/>
    <w:rsid w:val="00377777"/>
    <w:rsid w:val="00420CFF"/>
    <w:rsid w:val="004E6925"/>
    <w:rsid w:val="004F5FFE"/>
    <w:rsid w:val="00557727"/>
    <w:rsid w:val="00580185"/>
    <w:rsid w:val="005B154B"/>
    <w:rsid w:val="005D04E8"/>
    <w:rsid w:val="005D56B8"/>
    <w:rsid w:val="005F1E18"/>
    <w:rsid w:val="00617EEE"/>
    <w:rsid w:val="006F5002"/>
    <w:rsid w:val="00735F28"/>
    <w:rsid w:val="00790B44"/>
    <w:rsid w:val="0086675D"/>
    <w:rsid w:val="008834B3"/>
    <w:rsid w:val="009A142E"/>
    <w:rsid w:val="00C73E4E"/>
    <w:rsid w:val="00CF643B"/>
    <w:rsid w:val="00D00612"/>
    <w:rsid w:val="00D122D8"/>
    <w:rsid w:val="00D15FD4"/>
    <w:rsid w:val="00DB1C3B"/>
    <w:rsid w:val="00DF2375"/>
    <w:rsid w:val="06AC52C5"/>
    <w:rsid w:val="0D33E7B2"/>
    <w:rsid w:val="0F3F7FE3"/>
    <w:rsid w:val="14C11773"/>
    <w:rsid w:val="15A15AD8"/>
    <w:rsid w:val="1630F395"/>
    <w:rsid w:val="1634F64E"/>
    <w:rsid w:val="16BA8EAD"/>
    <w:rsid w:val="17915D4B"/>
    <w:rsid w:val="1AD6C7D7"/>
    <w:rsid w:val="1C96F8A7"/>
    <w:rsid w:val="2389BA66"/>
    <w:rsid w:val="23D8F771"/>
    <w:rsid w:val="24C90608"/>
    <w:rsid w:val="252F7AE7"/>
    <w:rsid w:val="254E4BAF"/>
    <w:rsid w:val="29D70D43"/>
    <w:rsid w:val="2F18E04E"/>
    <w:rsid w:val="2FA151F6"/>
    <w:rsid w:val="325B5EE6"/>
    <w:rsid w:val="3AB5C36E"/>
    <w:rsid w:val="3C2D9581"/>
    <w:rsid w:val="4417F446"/>
    <w:rsid w:val="4678EEC8"/>
    <w:rsid w:val="53D96A6A"/>
    <w:rsid w:val="5C17C691"/>
    <w:rsid w:val="6211AC90"/>
    <w:rsid w:val="6353FA37"/>
    <w:rsid w:val="69DDE033"/>
    <w:rsid w:val="6C034248"/>
    <w:rsid w:val="6D2357F2"/>
    <w:rsid w:val="700F23C9"/>
    <w:rsid w:val="740D5B60"/>
    <w:rsid w:val="7A50ADDF"/>
    <w:rsid w:val="7DA2C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FD572"/>
  <w15:chartTrackingRefBased/>
  <w15:docId w15:val="{8DAC5BE0-D413-4FA5-A84C-53E7844E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B3"/>
    <w:pPr>
      <w:spacing w:after="0" w:line="240" w:lineRule="auto"/>
    </w:pPr>
    <w:rPr>
      <w:rFonts w:ascii="Myriad Pro" w:eastAsia="Times New Roman" w:hAnsi="Myriad Pro"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4B3"/>
    <w:pPr>
      <w:spacing w:after="0" w:line="240" w:lineRule="auto"/>
    </w:pPr>
    <w:rPr>
      <w:rFonts w:ascii="Calibri" w:eastAsia="Calibri" w:hAnsi="Calibri" w:cs="Calibri"/>
    </w:rPr>
  </w:style>
  <w:style w:type="table" w:styleId="TableGrid">
    <w:name w:val="Table Grid"/>
    <w:basedOn w:val="TableNormal"/>
    <w:uiPriority w:val="39"/>
    <w:rsid w:val="0016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04E8"/>
  </w:style>
  <w:style w:type="character" w:customStyle="1" w:styleId="eop">
    <w:name w:val="eop"/>
    <w:basedOn w:val="DefaultParagraphFont"/>
    <w:rsid w:val="005D04E8"/>
  </w:style>
  <w:style w:type="paragraph" w:styleId="FootnoteText">
    <w:name w:val="footnote text"/>
    <w:basedOn w:val="Normal"/>
    <w:link w:val="FootnoteTextChar"/>
    <w:uiPriority w:val="99"/>
    <w:semiHidden/>
    <w:unhideWhenUsed/>
    <w:rsid w:val="009A142E"/>
    <w:rPr>
      <w:szCs w:val="20"/>
    </w:rPr>
  </w:style>
  <w:style w:type="character" w:customStyle="1" w:styleId="FootnoteTextChar">
    <w:name w:val="Footnote Text Char"/>
    <w:basedOn w:val="DefaultParagraphFont"/>
    <w:link w:val="FootnoteText"/>
    <w:uiPriority w:val="99"/>
    <w:semiHidden/>
    <w:rsid w:val="009A142E"/>
    <w:rPr>
      <w:rFonts w:ascii="Myriad Pro" w:eastAsia="Times New Roman" w:hAnsi="Myriad Pro" w:cs="Times New Roman"/>
      <w:sz w:val="20"/>
      <w:szCs w:val="20"/>
      <w:lang w:eastAsia="en-GB"/>
    </w:rPr>
  </w:style>
  <w:style w:type="character" w:styleId="FootnoteReference">
    <w:name w:val="footnote reference"/>
    <w:basedOn w:val="DefaultParagraphFont"/>
    <w:uiPriority w:val="99"/>
    <w:semiHidden/>
    <w:unhideWhenUsed/>
    <w:rsid w:val="009A142E"/>
    <w:rPr>
      <w:vertAlign w:val="superscript"/>
    </w:rPr>
  </w:style>
  <w:style w:type="paragraph" w:styleId="Header">
    <w:name w:val="header"/>
    <w:basedOn w:val="Normal"/>
    <w:link w:val="HeaderChar"/>
    <w:uiPriority w:val="99"/>
    <w:unhideWhenUsed/>
    <w:rsid w:val="00D122D8"/>
    <w:pPr>
      <w:tabs>
        <w:tab w:val="center" w:pos="4513"/>
        <w:tab w:val="right" w:pos="9026"/>
      </w:tabs>
    </w:pPr>
  </w:style>
  <w:style w:type="character" w:customStyle="1" w:styleId="HeaderChar">
    <w:name w:val="Header Char"/>
    <w:basedOn w:val="DefaultParagraphFont"/>
    <w:link w:val="Header"/>
    <w:uiPriority w:val="99"/>
    <w:rsid w:val="00D122D8"/>
    <w:rPr>
      <w:rFonts w:ascii="Myriad Pro" w:eastAsia="Times New Roman" w:hAnsi="Myriad Pro" w:cs="Times New Roman"/>
      <w:sz w:val="20"/>
      <w:szCs w:val="24"/>
      <w:lang w:eastAsia="en-GB"/>
    </w:rPr>
  </w:style>
  <w:style w:type="paragraph" w:styleId="Footer">
    <w:name w:val="footer"/>
    <w:basedOn w:val="Normal"/>
    <w:link w:val="FooterChar"/>
    <w:uiPriority w:val="99"/>
    <w:unhideWhenUsed/>
    <w:rsid w:val="00D122D8"/>
    <w:pPr>
      <w:tabs>
        <w:tab w:val="center" w:pos="4513"/>
        <w:tab w:val="right" w:pos="9026"/>
      </w:tabs>
    </w:pPr>
  </w:style>
  <w:style w:type="character" w:customStyle="1" w:styleId="FooterChar">
    <w:name w:val="Footer Char"/>
    <w:basedOn w:val="DefaultParagraphFont"/>
    <w:link w:val="Footer"/>
    <w:uiPriority w:val="99"/>
    <w:rsid w:val="00D122D8"/>
    <w:rPr>
      <w:rFonts w:ascii="Myriad Pro" w:eastAsia="Times New Roman" w:hAnsi="Myriad Pro"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7" ma:contentTypeDescription="Create a new document." ma:contentTypeScope="" ma:versionID="6acd76687ca84606219384aac433a1d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d5a20afa7eee3b6ff0d9426ba8864b22"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3BA99-EF8B-43C8-8348-D29F9744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C9B1C-D00B-4798-8CB0-17418656B15D}">
  <ds:schemaRefs>
    <ds:schemaRef ds:uri="http://schemas.microsoft.com/sharepoint/v3/contenttype/forms"/>
  </ds:schemaRefs>
</ds:datastoreItem>
</file>

<file path=customXml/itemProps3.xml><?xml version="1.0" encoding="utf-8"?>
<ds:datastoreItem xmlns:ds="http://schemas.openxmlformats.org/officeDocument/2006/customXml" ds:itemID="{7FA57BE9-68E2-4A1C-BBD3-0A0FEEAC6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4486</Characters>
  <Application>Microsoft Office Word</Application>
  <DocSecurity>0</DocSecurity>
  <Lines>37</Lines>
  <Paragraphs>10</Paragraphs>
  <ScaleCrop>false</ScaleCrop>
  <Company>SussexCoast College Hastings</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Shelley</dc:creator>
  <cp:keywords/>
  <dc:description/>
  <cp:lastModifiedBy>Daniel Shelley</cp:lastModifiedBy>
  <cp:revision>2</cp:revision>
  <dcterms:created xsi:type="dcterms:W3CDTF">2020-10-30T10:48:00Z</dcterms:created>
  <dcterms:modified xsi:type="dcterms:W3CDTF">2020-10-30T10:48:00Z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